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A1" w:rsidRPr="00CF5148" w:rsidRDefault="00CF5148" w:rsidP="00AC5FF1">
      <w:pPr>
        <w:ind w:right="-6106"/>
        <w:jc w:val="center"/>
        <w:rPr>
          <w:color w:val="538135" w:themeColor="accent6" w:themeShade="BF"/>
        </w:rPr>
      </w:pPr>
      <w:r w:rsidRPr="00CF5148">
        <w:rPr>
          <w:rFonts w:eastAsia="Times New Roman" w:cs="Times New Roman"/>
          <w:b/>
          <w:bCs/>
          <w:color w:val="538135" w:themeColor="accent6" w:themeShade="BF"/>
          <w:sz w:val="28"/>
          <w:szCs w:val="28"/>
          <w:lang w:eastAsia="lv-LV"/>
        </w:rPr>
        <w:t>TUKUMA NOVADA IZGLĪTĪBAS PĀRVALDES PASĀKUMU PLĀNS</w:t>
      </w:r>
    </w:p>
    <w:p w:rsidR="00CF5148" w:rsidRPr="00CF5148" w:rsidRDefault="00CF5148" w:rsidP="00AC5FF1">
      <w:pPr>
        <w:ind w:right="-6106"/>
        <w:jc w:val="center"/>
        <w:rPr>
          <w:color w:val="538135" w:themeColor="accent6" w:themeShade="BF"/>
        </w:rPr>
      </w:pPr>
      <w:r w:rsidRPr="00CF5148">
        <w:rPr>
          <w:rFonts w:eastAsia="Times New Roman" w:cs="Times New Roman"/>
          <w:b/>
          <w:bCs/>
          <w:color w:val="538135" w:themeColor="accent6" w:themeShade="BF"/>
          <w:sz w:val="36"/>
          <w:szCs w:val="36"/>
          <w:lang w:eastAsia="lv-LV"/>
        </w:rPr>
        <w:t>2024. gada AUGUSTS</w:t>
      </w: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605"/>
        <w:gridCol w:w="4678"/>
        <w:gridCol w:w="850"/>
        <w:gridCol w:w="1560"/>
        <w:gridCol w:w="7229"/>
        <w:gridCol w:w="8"/>
      </w:tblGrid>
      <w:tr w:rsidR="00AC5FF1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Dat.</w:t>
            </w:r>
          </w:p>
        </w:tc>
        <w:tc>
          <w:tcPr>
            <w:tcW w:w="6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Diena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Pasākums</w:t>
            </w: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Laiks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ind w:hanging="142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Norises vieta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ind w:right="1946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Iesniegt/iesūtīt</w:t>
            </w: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01.08.-31.08. Tukuma novada vidusskolu 2024.gada absolventiem iesniegt pieteikumus konkursam par pašvaldības stipendijas piešķiršanu studijām augstākās izglītības iestādē </w:t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t xml:space="preserve">(Tukuma novada domes 27.04.2022. noteikumi Nr.20 „Par Tukuma novada pašvaldības stipendijas piešķiršanu jauniešu studijām augstskolā”). Pieteikumus iesniegt Izglītības pārvaldes sekretārei </w:t>
            </w:r>
            <w:proofErr w:type="spellStart"/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t>Šēseles</w:t>
            </w:r>
            <w:proofErr w:type="spellEnd"/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t xml:space="preserve"> ielā 3, Tukumā, 2.stāvā (Noteikumi publicēti Tukuma novada interneta vietnē www.tip.edu.lv/pakalpojumi/Tukuma novada stipendijas un Tukuma novada Domes interneta vietnē </w:t>
            </w:r>
            <w:hyperlink r:id="rId4" w:tgtFrame="_blank" w:history="1">
              <w:r w:rsidRPr="00CF5148">
                <w:rPr>
                  <w:rFonts w:eastAsia="Times New Roman" w:cs="Times New Roman"/>
                  <w:color w:val="0000FF"/>
                  <w:sz w:val="18"/>
                  <w:szCs w:val="24"/>
                  <w:u w:val="single"/>
                  <w:lang w:eastAsia="lv-LV"/>
                </w:rPr>
                <w:t>https://www.tukums.lv/lv/noteikumi).</w:t>
              </w:r>
            </w:hyperlink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Aktualizēt informāciju par brīvajām vietām izglītības iestādē pirmsskolas grupu komplektēšanai 2024./2025.m.g. </w:t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t xml:space="preserve">https://docs.google.com/spreadsheets/d/1HhSg0mXb7Iaf1Cij0BCvVzQN8YvEHEH4M7QwJXKPQFQ/edit?usp=sharing </w:t>
            </w: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vMerge w:val="restart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Aktualizēt informāciju par vakancēm izglītības iestādē </w:t>
            </w:r>
            <w:bookmarkStart w:id="0" w:name="_GoBack"/>
            <w:bookmarkEnd w:id="0"/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fldChar w:fldCharType="begin"/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instrText xml:space="preserve"> HYPERLINK "https://www.tip.edu.lv/lv/vakances" \t "_blank" </w:instrText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fldChar w:fldCharType="separate"/>
            </w:r>
            <w:r w:rsidRPr="00AC5FF1">
              <w:rPr>
                <w:rFonts w:eastAsia="Times New Roman" w:cs="Times New Roman"/>
                <w:color w:val="0000FF"/>
                <w:sz w:val="18"/>
                <w:szCs w:val="24"/>
                <w:u w:val="single"/>
                <w:lang w:eastAsia="lv-LV"/>
              </w:rPr>
              <w:t>https://www.tip.edu.lv/lv/vakances</w:t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fldChar w:fldCharType="end"/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t xml:space="preserve">, informāciju nosūtot uz e-pastu marita.berzina@tukums.lv </w:t>
            </w: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vMerge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Informēt par prognozējamo 1.klases izglītojamo skaitu Agitu Dišleri telefoniski vai elektroniski e-pastā agita.dislere@tukums.lv</w:t>
            </w: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10.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Kursi vizuālās mākslas skolotājiem 12.-16.08.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Mākslas muzejs</w:t>
            </w:r>
            <w:r w:rsidR="00AC5FF1">
              <w:rPr>
                <w:rFonts w:eastAsia="Times New Roman" w:cs="Times New Roman"/>
                <w:lang w:eastAsia="lv-LV"/>
              </w:rPr>
              <w:t>, Tēlotājmākslas studija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13.</w:t>
            </w:r>
          </w:p>
        </w:tc>
        <w:tc>
          <w:tcPr>
            <w:tcW w:w="60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Pedagoģiski medicīniskās komisijas sēde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13.00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Izglītības pārvalde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AC5FF1" w:rsidRPr="00CF5148" w:rsidTr="00DB70FB">
        <w:trPr>
          <w:gridAfter w:val="1"/>
          <w:wAfter w:w="8" w:type="dxa"/>
          <w:trHeight w:val="315"/>
        </w:trPr>
        <w:tc>
          <w:tcPr>
            <w:tcW w:w="524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605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Kursi vizuālās mākslas skolotājiem 12.-16.08.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Mākslas muzejs</w:t>
            </w:r>
            <w:r>
              <w:rPr>
                <w:rFonts w:eastAsia="Times New Roman" w:cs="Times New Roman"/>
                <w:lang w:eastAsia="lv-LV"/>
              </w:rPr>
              <w:t>, Tēlotājmākslas studija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C5FF1" w:rsidRPr="00CF5148" w:rsidTr="00E56E64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lastRenderedPageBreak/>
              <w:t>14.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Kursi vizuālās mākslas skolotājiem 12.-16.08.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Mākslas muzejs</w:t>
            </w:r>
            <w:r>
              <w:rPr>
                <w:rFonts w:eastAsia="Times New Roman" w:cs="Times New Roman"/>
                <w:lang w:eastAsia="lv-LV"/>
              </w:rPr>
              <w:t>, Tēlotājmākslas studija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AC5FF1" w:rsidRPr="00CF5148" w:rsidTr="00E34BF0">
        <w:trPr>
          <w:gridAfter w:val="1"/>
          <w:wAfter w:w="8" w:type="dxa"/>
          <w:trHeight w:val="315"/>
        </w:trPr>
        <w:tc>
          <w:tcPr>
            <w:tcW w:w="52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60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Kursi vizuālās mākslas skolotājiem 12.-16.08.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Mākslas muzejs</w:t>
            </w:r>
            <w:r>
              <w:rPr>
                <w:rFonts w:eastAsia="Times New Roman" w:cs="Times New Roman"/>
                <w:lang w:eastAsia="lv-LV"/>
              </w:rPr>
              <w:t>, Tēlotājmākslas studija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informāciju par jauniem izglītības iestāžu vadītāju vietniekiem </w:t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t>(elektroniski izglitiba@tukums.lv)</w:t>
            </w:r>
          </w:p>
        </w:tc>
      </w:tr>
      <w:tr w:rsidR="00AC5FF1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/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ģeogrāfijas skolotājiem (1.nod.)</w:t>
            </w:r>
          </w:p>
        </w:tc>
        <w:tc>
          <w:tcPr>
            <w:tcW w:w="85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Cs w:val="24"/>
                <w:lang w:eastAsia="lv-LV"/>
              </w:rPr>
              <w:t>10.00</w:t>
            </w:r>
          </w:p>
        </w:tc>
        <w:tc>
          <w:tcPr>
            <w:tcW w:w="1560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Cs w:val="24"/>
                <w:lang w:eastAsia="lv-LV"/>
              </w:rPr>
              <w:t>Tukuma Raiņa Valsts ģimnāzija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Iesniegt Izglītības pārvaldes sekretārei pieteikumu Tukuma novada balvai izglītībā "Gada skolotājs" </w:t>
            </w:r>
            <w:r w:rsidRPr="00CF5148">
              <w:rPr>
                <w:rFonts w:eastAsia="Times New Roman" w:cs="Times New Roman"/>
                <w:sz w:val="18"/>
                <w:szCs w:val="24"/>
                <w:lang w:eastAsia="lv-LV"/>
              </w:rPr>
              <w:t>(www.tip.edu.lv/normatīvie dokumenti)</w:t>
            </w:r>
          </w:p>
        </w:tc>
      </w:tr>
      <w:tr w:rsidR="00AC5FF1" w:rsidRPr="00CF5148" w:rsidTr="00AC5FF1">
        <w:trPr>
          <w:gridAfter w:val="1"/>
          <w:wAfter w:w="8" w:type="dxa"/>
          <w:trHeight w:val="68"/>
        </w:trPr>
        <w:tc>
          <w:tcPr>
            <w:tcW w:w="524" w:type="dxa"/>
            <w:vMerge/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Iesniegt pieteikumus pedagogu apbalvošanai ar IZM un IP atzinības rakstiem Skolotāju dienā</w:t>
            </w:r>
          </w:p>
        </w:tc>
      </w:tr>
      <w:tr w:rsidR="00AC5FF1" w:rsidRPr="00CF5148" w:rsidTr="007A6DCC">
        <w:trPr>
          <w:gridAfter w:val="1"/>
          <w:wAfter w:w="8" w:type="dxa"/>
          <w:trHeight w:val="315"/>
        </w:trPr>
        <w:tc>
          <w:tcPr>
            <w:tcW w:w="52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60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Kursi vizuālās mākslas skolotājiem 12.-16.08.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Mākslas muzejs</w:t>
            </w:r>
            <w:r>
              <w:rPr>
                <w:rFonts w:eastAsia="Times New Roman" w:cs="Times New Roman"/>
                <w:lang w:eastAsia="lv-LV"/>
              </w:rPr>
              <w:t>, Tēlotājmākslas studija</w:t>
            </w:r>
          </w:p>
        </w:tc>
        <w:tc>
          <w:tcPr>
            <w:tcW w:w="7229" w:type="dxa"/>
            <w:vMerge w:val="restart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Iesūtīt Zinību dienas norises laikus e-pastā izglitiba@tukums.lv</w:t>
            </w:r>
          </w:p>
        </w:tc>
      </w:tr>
      <w:tr w:rsidR="00AC5FF1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/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Kursi Tukuma novada ģeogrāfijas skolotājiem (2.nod.)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7229" w:type="dxa"/>
            <w:vMerge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C5FF1" w:rsidRPr="00CF5148" w:rsidRDefault="00AC5FF1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60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elektroniski interešu izglītības programmas 2024./2025.m.g. e-pastā angelika.dembovska@tukums.lv </w:t>
            </w: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Aktualizēt informāciju par brīvajām vietām izglītības iestādē pirmsskolas grupu komplektēšanai 2024./2025.m.g.</w:t>
            </w: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Pedagoģiski medicīniskās komisijas sēde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13.00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Izglītības pārvalde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60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Metodiskā diena "Apzināt.</w:t>
            </w:r>
            <w:r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 </w:t>
            </w:r>
            <w:r w:rsidRPr="00CF5148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Atklāt.</w:t>
            </w:r>
            <w:r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 </w:t>
            </w:r>
            <w:r w:rsidRPr="00CF5148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 xml:space="preserve">Atbalstīt." </w:t>
            </w:r>
            <w:r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 xml:space="preserve">izglītības iestāžu </w:t>
            </w:r>
            <w:r w:rsidRPr="00CF5148">
              <w:rPr>
                <w:rFonts w:eastAsia="Times New Roman" w:cs="Times New Roman"/>
                <w:b/>
                <w:sz w:val="24"/>
                <w:szCs w:val="24"/>
                <w:lang w:eastAsia="lv-LV"/>
              </w:rPr>
              <w:t>atbalsta personālam un pedagogiem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2.vidusskola</w:t>
            </w:r>
          </w:p>
        </w:tc>
        <w:tc>
          <w:tcPr>
            <w:tcW w:w="7229" w:type="dxa"/>
            <w:vMerge w:val="restart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Iesūtīt elektroniski "Informācijas lapa, uzsākot 2024./2025.m.g." e-pastā laila.ingevica@tukums.lv</w:t>
            </w: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vizuālās mākslas skolotājiem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2.vidusskola</w:t>
            </w:r>
          </w:p>
        </w:tc>
        <w:tc>
          <w:tcPr>
            <w:tcW w:w="7229" w:type="dxa"/>
            <w:vMerge/>
            <w:shd w:val="clear" w:color="auto" w:fill="E2EFD9" w:themeFill="accent6" w:themeFillTint="33"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F5148" w:rsidRPr="00CF5148" w:rsidTr="00AC5FF1">
        <w:trPr>
          <w:trHeight w:val="315"/>
        </w:trPr>
        <w:tc>
          <w:tcPr>
            <w:tcW w:w="524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IZM konference</w:t>
            </w:r>
          </w:p>
        </w:tc>
        <w:tc>
          <w:tcPr>
            <w:tcW w:w="2410" w:type="dxa"/>
            <w:gridSpan w:val="2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lang w:eastAsia="lv-LV"/>
              </w:rPr>
            </w:pPr>
            <w:r w:rsidRPr="00CF5148">
              <w:rPr>
                <w:rFonts w:eastAsia="Times New Roman" w:cs="Times New Roman"/>
                <w:i/>
                <w:iCs/>
                <w:lang w:eastAsia="lv-LV"/>
              </w:rPr>
              <w:t>informācija tiks precizēta</w:t>
            </w:r>
          </w:p>
        </w:tc>
        <w:tc>
          <w:tcPr>
            <w:tcW w:w="7237" w:type="dxa"/>
            <w:gridSpan w:val="2"/>
            <w:shd w:val="clear" w:color="auto" w:fill="E2EFD9" w:themeFill="accent6" w:themeFillTint="33"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605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Jaunā mācību gada ieskaņas seminārs Tukuma novada izglītības iestāžu vadītājiem un vietniekiem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Zemgales vidusskola</w:t>
            </w:r>
          </w:p>
        </w:tc>
        <w:tc>
          <w:tcPr>
            <w:tcW w:w="7229" w:type="dxa"/>
            <w:vMerge w:val="restart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Iesūtīt kopējo plānoto stundu skaitu nedēļā interešu izglītībā 2024./2025.m.g. e-pastā </w:t>
            </w:r>
            <w:hyperlink r:id="rId5" w:tgtFrame="_blank" w:history="1">
              <w:r w:rsidRPr="00CF5148">
                <w:rPr>
                  <w:rFonts w:eastAsia="Times New Roman" w:cs="Times New Roman"/>
                  <w:color w:val="0000FF"/>
                  <w:sz w:val="24"/>
                  <w:szCs w:val="24"/>
                  <w:u w:val="single"/>
                  <w:lang w:eastAsia="lv-LV"/>
                </w:rPr>
                <w:t>angelika.dembovska@tukums.lv</w:t>
              </w:r>
            </w:hyperlink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sociālo zinību un vēstures skolotājiem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Durbes pils, Tukums</w:t>
            </w:r>
          </w:p>
        </w:tc>
        <w:tc>
          <w:tcPr>
            <w:tcW w:w="7229" w:type="dxa"/>
            <w:vMerge/>
            <w:shd w:val="clear" w:color="auto" w:fill="E2EFD9" w:themeFill="accent6" w:themeFillTint="33"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AC5FF1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05" w:type="dxa"/>
            <w:vMerge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Tautas deju kolektīvu vadītāju un virsvadītāju repertuāra apguves seminārs, gatavojoties XIII Latvijas Skolu jaunatnes dziesmu un deju svētku deju lielkoncertam “Es atvēru Laimas dārzu”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Rīgas Tehniskā koledža, Braslas iela 16</w:t>
            </w:r>
          </w:p>
        </w:tc>
        <w:tc>
          <w:tcPr>
            <w:tcW w:w="7229" w:type="dxa"/>
            <w:vMerge/>
            <w:shd w:val="clear" w:color="auto" w:fill="E2EFD9" w:themeFill="accent6" w:themeFillTint="33"/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lastRenderedPageBreak/>
              <w:t>24.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25.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Sv.</w:t>
            </w:r>
          </w:p>
        </w:tc>
        <w:tc>
          <w:tcPr>
            <w:tcW w:w="467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metodisko jomu koordinatoriem un novada mācību priekšmetu pedagogu kopienu līderiem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O.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Pedagoģiski medicīniskās komisijas sēde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13.00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Izglītības pārvalde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T.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 xml:space="preserve">Latvijas mūzikas skolu un mākslas skolu vadītāju sanāksme 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12.00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Sigulda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C.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Seminārs Tukuma novada matemātikas skolotājiem</w:t>
            </w: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10.00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  <w:r w:rsidRPr="00CF5148">
              <w:rPr>
                <w:rFonts w:eastAsia="Times New Roman" w:cs="Times New Roman"/>
                <w:lang w:eastAsia="lv-LV"/>
              </w:rPr>
              <w:t>Tukuma Raiņa Valsts ģimnāzija</w:t>
            </w: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  <w:t>P.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</w:tr>
      <w:tr w:rsidR="00CF5148" w:rsidRPr="00CF5148" w:rsidTr="00AC5FF1">
        <w:trPr>
          <w:gridAfter w:val="1"/>
          <w:wAfter w:w="8" w:type="dxa"/>
          <w:trHeight w:val="315"/>
        </w:trPr>
        <w:tc>
          <w:tcPr>
            <w:tcW w:w="524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6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  <w:t>S.</w:t>
            </w:r>
          </w:p>
        </w:tc>
        <w:tc>
          <w:tcPr>
            <w:tcW w:w="467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980000"/>
                <w:sz w:val="24"/>
                <w:szCs w:val="24"/>
                <w:lang w:eastAsia="lv-LV"/>
              </w:rPr>
            </w:pPr>
          </w:p>
        </w:tc>
        <w:tc>
          <w:tcPr>
            <w:tcW w:w="85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7229" w:type="dxa"/>
            <w:shd w:val="clear" w:color="auto" w:fill="E2EFD9" w:themeFill="accent6" w:themeFillTint="3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CF5148" w:rsidRPr="00CF5148" w:rsidRDefault="00CF5148" w:rsidP="00CF514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lv-LV"/>
              </w:rPr>
            </w:pPr>
            <w:r w:rsidRPr="00CF5148">
              <w:rPr>
                <w:rFonts w:eastAsia="Times New Roman" w:cs="Times New Roman"/>
                <w:sz w:val="24"/>
                <w:szCs w:val="24"/>
                <w:lang w:eastAsia="lv-LV"/>
              </w:rPr>
              <w:t>Ievadīt un aktualizēt informāciju VIIS par 1.-12.klašu izglītojamiem</w:t>
            </w:r>
          </w:p>
        </w:tc>
      </w:tr>
    </w:tbl>
    <w:p w:rsidR="00CF5148" w:rsidRDefault="00CF5148"/>
    <w:sectPr w:rsidR="00CF5148" w:rsidSect="00CF5148">
      <w:pgSz w:w="16838" w:h="11906" w:orient="landscape"/>
      <w:pgMar w:top="720" w:right="6915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48"/>
    <w:rsid w:val="00065A51"/>
    <w:rsid w:val="003D0EA1"/>
    <w:rsid w:val="00AC5FF1"/>
    <w:rsid w:val="00C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8D8E4F"/>
  <w15:chartTrackingRefBased/>
  <w15:docId w15:val="{28A47AC1-B1AF-4139-8525-66504354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CF5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gelika.dembovska@tukums.lv" TargetMode="External"/><Relationship Id="rId4" Type="http://schemas.openxmlformats.org/officeDocument/2006/relationships/hyperlink" Target="https://www.tukums.lv/lv/noteikumi).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2845</Words>
  <Characters>1623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</dc:creator>
  <cp:keywords/>
  <dc:description/>
  <cp:lastModifiedBy>Marita</cp:lastModifiedBy>
  <cp:revision>2</cp:revision>
  <dcterms:created xsi:type="dcterms:W3CDTF">2024-07-24T10:11:00Z</dcterms:created>
  <dcterms:modified xsi:type="dcterms:W3CDTF">2024-07-24T10:11:00Z</dcterms:modified>
</cp:coreProperties>
</file>