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E1" w:rsidRPr="001C5FE1" w:rsidRDefault="001C5FE1" w:rsidP="001C5FE1">
      <w:pPr>
        <w:shd w:val="clear" w:color="auto" w:fill="FFFFFF"/>
        <w:ind w:left="-993"/>
        <w:jc w:val="right"/>
        <w:rPr>
          <w:rFonts w:ascii="Arial" w:eastAsia="Times New Roman" w:hAnsi="Arial" w:cs="Arial"/>
          <w:color w:val="414142"/>
        </w:rPr>
      </w:pPr>
      <w:r w:rsidRPr="001C5FE1">
        <w:rPr>
          <w:rFonts w:ascii="Arial" w:eastAsia="Times New Roman" w:hAnsi="Arial" w:cs="Arial"/>
          <w:b/>
          <w:bCs/>
          <w:color w:val="414142"/>
        </w:rPr>
        <w:t>Ministru kabineta noteikumi Nr.1035</w:t>
      </w:r>
      <w:r w:rsidRPr="001C5FE1">
        <w:rPr>
          <w:rFonts w:ascii="Arial" w:eastAsia="Times New Roman" w:hAnsi="Arial" w:cs="Arial"/>
          <w:color w:val="414142"/>
        </w:rPr>
        <w:t> </w:t>
      </w:r>
      <w:r w:rsidRPr="001C5FE1">
        <w:rPr>
          <w:rFonts w:ascii="Arial" w:eastAsia="Times New Roman" w:hAnsi="Arial" w:cs="Arial"/>
          <w:color w:val="414142"/>
        </w:rPr>
        <w:br/>
      </w:r>
      <w:r w:rsidRPr="001C5FE1">
        <w:rPr>
          <w:rFonts w:ascii="Arial" w:eastAsia="Times New Roman" w:hAnsi="Arial" w:cs="Arial"/>
          <w:color w:val="414142"/>
        </w:rPr>
        <w:br/>
        <w:t>Rīgā 2011.gada 27.decembrī (prot. Nr.76 53.§)</w:t>
      </w:r>
    </w:p>
    <w:p w:rsidR="001C5FE1" w:rsidRPr="001C5FE1" w:rsidRDefault="001C5FE1" w:rsidP="001C5FE1">
      <w:pPr>
        <w:shd w:val="clear" w:color="auto" w:fill="FFFFFF"/>
        <w:ind w:left="-993"/>
        <w:jc w:val="center"/>
        <w:rPr>
          <w:rFonts w:ascii="Arial" w:eastAsia="Times New Roman" w:hAnsi="Arial" w:cs="Arial"/>
          <w:b/>
          <w:bCs/>
          <w:color w:val="414142"/>
          <w:sz w:val="35"/>
          <w:szCs w:val="35"/>
        </w:rPr>
      </w:pPr>
      <w:r w:rsidRPr="001C5FE1">
        <w:rPr>
          <w:rFonts w:ascii="Arial" w:eastAsia="Times New Roman" w:hAnsi="Arial" w:cs="Arial"/>
          <w:b/>
          <w:bCs/>
          <w:color w:val="414142"/>
          <w:sz w:val="35"/>
          <w:szCs w:val="35"/>
        </w:rPr>
        <w:t>Kārtība, kādā valsts finansē profesionālās ievirzes mākslas, mūzikas un dejas izglītības programmas</w:t>
      </w:r>
    </w:p>
    <w:p w:rsidR="001C5FE1" w:rsidRPr="001C5FE1" w:rsidRDefault="001C5FE1" w:rsidP="001C5FE1">
      <w:pPr>
        <w:shd w:val="clear" w:color="auto" w:fill="FFFFFF"/>
        <w:ind w:left="-993"/>
        <w:jc w:val="right"/>
        <w:rPr>
          <w:rFonts w:ascii="Arial" w:eastAsia="Times New Roman" w:hAnsi="Arial" w:cs="Arial"/>
          <w:i/>
          <w:iCs/>
          <w:color w:val="414142"/>
        </w:rPr>
      </w:pPr>
      <w:r w:rsidRPr="001C5FE1">
        <w:rPr>
          <w:rFonts w:ascii="Arial" w:eastAsia="Times New Roman" w:hAnsi="Arial" w:cs="Arial"/>
          <w:i/>
          <w:iCs/>
          <w:color w:val="414142"/>
        </w:rPr>
        <w:t>Izdoti saskaņā ar </w:t>
      </w:r>
      <w:hyperlink r:id="rId7" w:tgtFrame="_blank" w:history="1">
        <w:r w:rsidRPr="001C5FE1">
          <w:rPr>
            <w:rFonts w:ascii="Arial" w:eastAsia="Times New Roman" w:hAnsi="Arial" w:cs="Arial"/>
            <w:i/>
            <w:iCs/>
            <w:color w:val="16497B"/>
          </w:rPr>
          <w:t>Izglītības likuma</w:t>
        </w:r>
      </w:hyperlink>
      <w:r w:rsidRPr="001C5FE1">
        <w:rPr>
          <w:rFonts w:ascii="Arial" w:eastAsia="Times New Roman" w:hAnsi="Arial" w:cs="Arial"/>
          <w:i/>
          <w:iCs/>
          <w:color w:val="414142"/>
        </w:rPr>
        <w:t> </w:t>
      </w:r>
      <w:hyperlink r:id="rId8" w:anchor="p14" w:tgtFrame="_blank" w:history="1">
        <w:r w:rsidRPr="001C5FE1">
          <w:rPr>
            <w:rFonts w:ascii="Arial" w:eastAsia="Times New Roman" w:hAnsi="Arial" w:cs="Arial"/>
            <w:i/>
            <w:iCs/>
            <w:color w:val="16497B"/>
          </w:rPr>
          <w:t>14.panta</w:t>
        </w:r>
      </w:hyperlink>
      <w:r w:rsidRPr="001C5FE1">
        <w:rPr>
          <w:rFonts w:ascii="Arial" w:eastAsia="Times New Roman" w:hAnsi="Arial" w:cs="Arial"/>
          <w:i/>
          <w:iCs/>
          <w:color w:val="414142"/>
        </w:rPr>
        <w:t> 26.punktu un </w:t>
      </w:r>
      <w:r w:rsidRPr="001C5FE1">
        <w:rPr>
          <w:rFonts w:ascii="Arial" w:eastAsia="Times New Roman" w:hAnsi="Arial" w:cs="Arial"/>
          <w:i/>
          <w:iCs/>
          <w:color w:val="414142"/>
        </w:rPr>
        <w:br/>
      </w:r>
      <w:hyperlink r:id="rId9" w:tgtFrame="_blank" w:history="1">
        <w:r w:rsidRPr="001C5FE1">
          <w:rPr>
            <w:rFonts w:ascii="Arial" w:eastAsia="Times New Roman" w:hAnsi="Arial" w:cs="Arial"/>
            <w:i/>
            <w:iCs/>
            <w:color w:val="16497B"/>
          </w:rPr>
          <w:t>Profesionālās izglītības likuma</w:t>
        </w:r>
      </w:hyperlink>
      <w:r w:rsidRPr="001C5FE1">
        <w:rPr>
          <w:rFonts w:ascii="Arial" w:eastAsia="Times New Roman" w:hAnsi="Arial" w:cs="Arial"/>
          <w:i/>
          <w:iCs/>
          <w:color w:val="414142"/>
        </w:rPr>
        <w:t> </w:t>
      </w:r>
      <w:hyperlink r:id="rId10" w:anchor="p31" w:tgtFrame="_blank" w:history="1">
        <w:r w:rsidRPr="001C5FE1">
          <w:rPr>
            <w:rFonts w:ascii="Arial" w:eastAsia="Times New Roman" w:hAnsi="Arial" w:cs="Arial"/>
            <w:i/>
            <w:iCs/>
            <w:color w:val="16497B"/>
          </w:rPr>
          <w:t>31.panta</w:t>
        </w:r>
      </w:hyperlink>
      <w:r w:rsidRPr="001C5FE1">
        <w:rPr>
          <w:rFonts w:ascii="Arial" w:eastAsia="Times New Roman" w:hAnsi="Arial" w:cs="Arial"/>
          <w:i/>
          <w:iCs/>
          <w:color w:val="414142"/>
        </w:rPr>
        <w:t> 2.</w:t>
      </w:r>
      <w:r w:rsidRPr="001C5FE1">
        <w:rPr>
          <w:rFonts w:ascii="Arial" w:eastAsia="Times New Roman" w:hAnsi="Arial" w:cs="Arial"/>
          <w:i/>
          <w:iCs/>
          <w:color w:val="414142"/>
          <w:vertAlign w:val="superscript"/>
        </w:rPr>
        <w:t>3</w:t>
      </w:r>
      <w:r w:rsidRPr="001C5FE1">
        <w:rPr>
          <w:rFonts w:ascii="Arial" w:eastAsia="Times New Roman" w:hAnsi="Arial" w:cs="Arial"/>
          <w:i/>
          <w:iCs/>
          <w:color w:val="414142"/>
        </w:rPr>
        <w:t> daļu</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0" w:name="p1"/>
      <w:bookmarkStart w:id="1" w:name="p-418459"/>
      <w:bookmarkEnd w:id="0"/>
      <w:bookmarkEnd w:id="1"/>
      <w:r w:rsidRPr="001C5FE1">
        <w:rPr>
          <w:rFonts w:ascii="Arial" w:eastAsia="Times New Roman" w:hAnsi="Arial" w:cs="Arial"/>
          <w:color w:val="414142"/>
        </w:rPr>
        <w:t>1. Noteikumi nosaka kārtību, kādā valsts finansē profesionālās ievirzes mākslas, mūzikas un dejas izglītības programmas (turpmāk – izglītības programmas).</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2" w:name="p2"/>
      <w:bookmarkStart w:id="3" w:name="p-418460"/>
      <w:bookmarkEnd w:id="2"/>
      <w:bookmarkEnd w:id="3"/>
      <w:r w:rsidRPr="001C5FE1">
        <w:rPr>
          <w:rFonts w:ascii="Arial" w:eastAsia="Times New Roman" w:hAnsi="Arial" w:cs="Arial"/>
          <w:color w:val="414142"/>
        </w:rPr>
        <w:t>2. Noteikumus piemēro atbilstoši valsts budžetā attiecīgajam gadam apstiprinātajam finansējumam.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4" w:name="p3"/>
      <w:bookmarkStart w:id="5" w:name="p-418461"/>
      <w:bookmarkEnd w:id="4"/>
      <w:bookmarkEnd w:id="5"/>
      <w:r w:rsidRPr="001C5FE1">
        <w:rPr>
          <w:rFonts w:ascii="Arial" w:eastAsia="Times New Roman" w:hAnsi="Arial" w:cs="Arial"/>
          <w:color w:val="414142"/>
        </w:rPr>
        <w:t>3. Noteikumi neattiecas uz tiešās pārvaldes iestādēm, kuras īsteno profesionālās ievirzes izglītības programmas.</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6" w:name="p4"/>
      <w:bookmarkStart w:id="7" w:name="p-418462"/>
      <w:bookmarkEnd w:id="6"/>
      <w:bookmarkEnd w:id="7"/>
      <w:r w:rsidRPr="001C5FE1">
        <w:rPr>
          <w:rFonts w:ascii="Arial" w:eastAsia="Times New Roman" w:hAnsi="Arial" w:cs="Arial"/>
          <w:color w:val="414142"/>
        </w:rPr>
        <w:t>4. No valsts budžeta piešķir līdzekļus šo noteikumu </w:t>
      </w:r>
      <w:hyperlink r:id="rId11" w:anchor="piel1" w:tgtFrame="_blank" w:history="1">
        <w:r w:rsidRPr="001C5FE1">
          <w:rPr>
            <w:rFonts w:ascii="Arial" w:eastAsia="Times New Roman" w:hAnsi="Arial" w:cs="Arial"/>
            <w:color w:val="16497B"/>
          </w:rPr>
          <w:t>1.pielikumā</w:t>
        </w:r>
      </w:hyperlink>
      <w:r w:rsidRPr="001C5FE1">
        <w:rPr>
          <w:rFonts w:ascii="Arial" w:eastAsia="Times New Roman" w:hAnsi="Arial" w:cs="Arial"/>
          <w:color w:val="414142"/>
        </w:rPr>
        <w:t> minētajās izglītības programmās nodarbināto pedagogu darba samaksai un valsts sociālās apdrošināšanas obligātajām iemaksām (turpmāk – dotācija) attiecīgajā budžeta gadā no 1.janvāra līdz 31.decembrim vai citā laikposmā, ja izglītības iestāde izglītības programmu īsteno nepilnu gadu.</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8" w:name="p4.1"/>
      <w:bookmarkStart w:id="9" w:name="p-524874"/>
      <w:bookmarkEnd w:id="8"/>
      <w:bookmarkEnd w:id="9"/>
      <w:r w:rsidRPr="001C5FE1">
        <w:rPr>
          <w:rFonts w:ascii="Arial" w:eastAsia="Times New Roman" w:hAnsi="Arial" w:cs="Arial"/>
          <w:color w:val="414142"/>
        </w:rPr>
        <w:t>4.</w:t>
      </w:r>
      <w:r w:rsidRPr="001C5FE1">
        <w:rPr>
          <w:rFonts w:ascii="Arial" w:eastAsia="Times New Roman" w:hAnsi="Arial" w:cs="Arial"/>
          <w:color w:val="414142"/>
          <w:vertAlign w:val="superscript"/>
        </w:rPr>
        <w:t>1</w:t>
      </w:r>
      <w:r w:rsidRPr="001C5FE1">
        <w:rPr>
          <w:rFonts w:ascii="Arial" w:eastAsia="Times New Roman" w:hAnsi="Arial" w:cs="Arial"/>
          <w:color w:val="414142"/>
        </w:rPr>
        <w:t> Dotācija attiecīgajā gadā ietver:</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4.</w:t>
      </w:r>
      <w:r w:rsidRPr="001C5FE1">
        <w:rPr>
          <w:rFonts w:ascii="Arial" w:eastAsia="Times New Roman" w:hAnsi="Arial" w:cs="Arial"/>
          <w:color w:val="414142"/>
          <w:vertAlign w:val="superscript"/>
        </w:rPr>
        <w:t>1</w:t>
      </w:r>
      <w:r w:rsidRPr="001C5FE1">
        <w:rPr>
          <w:rFonts w:ascii="Arial" w:eastAsia="Times New Roman" w:hAnsi="Arial" w:cs="Arial"/>
          <w:color w:val="414142"/>
        </w:rPr>
        <w:t>1. finansējumu izglītības programmās nodarbināto pedagogu pedagoģisko likmju skaita apmaksai attiecīgajā izglītības iestādē;</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4.</w:t>
      </w:r>
      <w:r w:rsidRPr="001C5FE1">
        <w:rPr>
          <w:rFonts w:ascii="Arial" w:eastAsia="Times New Roman" w:hAnsi="Arial" w:cs="Arial"/>
          <w:color w:val="414142"/>
          <w:vertAlign w:val="superscript"/>
        </w:rPr>
        <w:t>1</w:t>
      </w:r>
      <w:r w:rsidRPr="001C5FE1">
        <w:rPr>
          <w:rFonts w:ascii="Arial" w:eastAsia="Times New Roman" w:hAnsi="Arial" w:cs="Arial"/>
          <w:color w:val="414142"/>
        </w:rPr>
        <w:t>2. finansējumu pedagogu darba samaksas noteikumos noteiktajām pedagoga profesionālās darbības kvalitātes piemaksām attiecīgās izglītības iestādes pedagogiem, kuri ir ieguvuši 3., 4. un 5.kvalitātes pakāpi (turpmāk – piemaksas).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12"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noteikumu Nr.1233 redakcijā, kas grozīta ar MK </w:t>
      </w:r>
      <w:hyperlink r:id="rId13"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noteikumiem Nr.510)</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bookmarkStart w:id="10" w:name="p4.2"/>
      <w:bookmarkStart w:id="11" w:name="p-493515"/>
      <w:bookmarkEnd w:id="10"/>
      <w:bookmarkEnd w:id="11"/>
      <w:r w:rsidRPr="001C5FE1">
        <w:rPr>
          <w:rFonts w:ascii="Arial" w:eastAsia="Times New Roman" w:hAnsi="Arial" w:cs="Arial"/>
          <w:strike/>
          <w:color w:val="FF0000"/>
        </w:rPr>
        <w:t>4.</w:t>
      </w:r>
      <w:r w:rsidRPr="001C5FE1">
        <w:rPr>
          <w:rFonts w:ascii="Arial" w:eastAsia="Times New Roman" w:hAnsi="Arial" w:cs="Arial"/>
          <w:strike/>
          <w:color w:val="FF0000"/>
          <w:vertAlign w:val="superscript"/>
        </w:rPr>
        <w:t>2</w:t>
      </w:r>
      <w:r w:rsidRPr="001C5FE1">
        <w:rPr>
          <w:rFonts w:ascii="Arial" w:eastAsia="Times New Roman" w:hAnsi="Arial" w:cs="Arial"/>
          <w:strike/>
          <w:color w:val="FF0000"/>
        </w:rPr>
        <w:t> Šo noteikumu 4.</w:t>
      </w:r>
      <w:r w:rsidRPr="001C5FE1">
        <w:rPr>
          <w:rFonts w:ascii="Arial" w:eastAsia="Times New Roman" w:hAnsi="Arial" w:cs="Arial"/>
          <w:strike/>
          <w:color w:val="FF0000"/>
          <w:vertAlign w:val="superscript"/>
        </w:rPr>
        <w:t>1</w:t>
      </w:r>
      <w:r w:rsidRPr="001C5FE1">
        <w:rPr>
          <w:rFonts w:ascii="Arial" w:eastAsia="Times New Roman" w:hAnsi="Arial" w:cs="Arial"/>
          <w:strike/>
          <w:color w:val="FF0000"/>
        </w:rPr>
        <w:t> </w:t>
      </w:r>
      <w:hyperlink r:id="rId14" w:anchor="p2" w:tgtFrame="_blank" w:history="1">
        <w:r w:rsidRPr="001C5FE1">
          <w:rPr>
            <w:rFonts w:ascii="Arial" w:eastAsia="Times New Roman" w:hAnsi="Arial" w:cs="Arial"/>
            <w:strike/>
            <w:color w:val="FF0000"/>
          </w:rPr>
          <w:t>2.punktā</w:t>
        </w:r>
      </w:hyperlink>
      <w:r w:rsidRPr="001C5FE1">
        <w:rPr>
          <w:rFonts w:ascii="Arial" w:eastAsia="Times New Roman" w:hAnsi="Arial" w:cs="Arial"/>
          <w:strike/>
          <w:color w:val="FF0000"/>
        </w:rPr>
        <w:t> minētās piemaksas no valsts budžeta tiek nodrošinātas tiem izglītības programmās nodarbinātajiem pedagogiem, kuru pedagoģisko likmju apmaksa tiek finansēta no valsts budžeta piešķirtā finansējuma atbilstoši valsts budžeta finansētajai daļai. Šo noteikumu 4.</w:t>
      </w:r>
      <w:r w:rsidRPr="001C5FE1">
        <w:rPr>
          <w:rFonts w:ascii="Arial" w:eastAsia="Times New Roman" w:hAnsi="Arial" w:cs="Arial"/>
          <w:strike/>
          <w:color w:val="FF0000"/>
          <w:vertAlign w:val="superscript"/>
        </w:rPr>
        <w:t>1</w:t>
      </w:r>
      <w:r w:rsidRPr="001C5FE1">
        <w:rPr>
          <w:rFonts w:ascii="Arial" w:eastAsia="Times New Roman" w:hAnsi="Arial" w:cs="Arial"/>
          <w:strike/>
          <w:color w:val="FF0000"/>
        </w:rPr>
        <w:t> </w:t>
      </w:r>
      <w:hyperlink r:id="rId15" w:anchor="p2" w:tgtFrame="_blank" w:history="1">
        <w:r w:rsidRPr="001C5FE1">
          <w:rPr>
            <w:rFonts w:ascii="Arial" w:eastAsia="Times New Roman" w:hAnsi="Arial" w:cs="Arial"/>
            <w:strike/>
            <w:color w:val="FF0000"/>
          </w:rPr>
          <w:t>2.punktā</w:t>
        </w:r>
      </w:hyperlink>
      <w:r w:rsidRPr="001C5FE1">
        <w:rPr>
          <w:rFonts w:ascii="Arial" w:eastAsia="Times New Roman" w:hAnsi="Arial" w:cs="Arial"/>
          <w:strike/>
          <w:color w:val="FF0000"/>
        </w:rPr>
        <w:t> minētais valsts budžeta finansējums piemaksām netiek aprēķināts par darba samaksas daļu, ko izglītības iestādes dibinātājs papildus valsts budžeta dotācijai ir noteicis no saviem līdzekļiem.</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strike/>
          <w:color w:val="FF0000"/>
        </w:rPr>
      </w:pPr>
      <w:r w:rsidRPr="001C5FE1">
        <w:rPr>
          <w:rFonts w:ascii="Arial" w:eastAsia="Times New Roman" w:hAnsi="Arial" w:cs="Arial"/>
          <w:i/>
          <w:iCs/>
          <w:strike/>
          <w:color w:val="FF0000"/>
        </w:rPr>
        <w:t>(MK </w:t>
      </w:r>
      <w:hyperlink r:id="rId16" w:tgtFrame="_blank" w:history="1">
        <w:r w:rsidRPr="001C5FE1">
          <w:rPr>
            <w:rFonts w:ascii="Arial" w:eastAsia="Times New Roman" w:hAnsi="Arial" w:cs="Arial"/>
            <w:i/>
            <w:iCs/>
            <w:strike/>
            <w:color w:val="FF0000"/>
          </w:rPr>
          <w:t>29.10.2013.</w:t>
        </w:r>
      </w:hyperlink>
      <w:r w:rsidRPr="001C5FE1">
        <w:rPr>
          <w:rFonts w:ascii="Arial" w:eastAsia="Times New Roman" w:hAnsi="Arial" w:cs="Arial"/>
          <w:i/>
          <w:iCs/>
          <w:strike/>
          <w:color w:val="FF0000"/>
        </w:rPr>
        <w:t> noteikumu Nr.1233 redakcijā)</w:t>
      </w:r>
    </w:p>
    <w:p w:rsidR="003F0536" w:rsidRPr="003F0536" w:rsidRDefault="003F0536" w:rsidP="001C5FE1">
      <w:pPr>
        <w:shd w:val="clear" w:color="auto" w:fill="FFFFFF"/>
        <w:spacing w:line="293" w:lineRule="atLeast"/>
        <w:ind w:left="-993" w:firstLine="300"/>
        <w:jc w:val="both"/>
        <w:rPr>
          <w:rFonts w:ascii="Arial" w:eastAsia="Times New Roman" w:hAnsi="Arial" w:cs="Arial"/>
          <w:color w:val="FF0000"/>
        </w:rPr>
      </w:pPr>
      <w:bookmarkStart w:id="12" w:name="p5"/>
      <w:bookmarkStart w:id="13" w:name="p-418463"/>
      <w:bookmarkEnd w:id="12"/>
      <w:bookmarkEnd w:id="13"/>
      <w:r w:rsidRPr="00FD61BB">
        <w:rPr>
          <w:rFonts w:ascii="Arial" w:eastAsia="Times New Roman" w:hAnsi="Arial" w:cs="Arial"/>
          <w:color w:val="FF0000"/>
        </w:rPr>
        <w:t>4.</w:t>
      </w:r>
      <w:r w:rsidRPr="00FD61BB">
        <w:rPr>
          <w:rFonts w:ascii="Arial" w:eastAsia="Times New Roman" w:hAnsi="Arial" w:cs="Arial"/>
          <w:color w:val="FF0000"/>
          <w:vertAlign w:val="superscript"/>
        </w:rPr>
        <w:t>2 </w:t>
      </w:r>
      <w:r w:rsidRPr="00FD61BB">
        <w:rPr>
          <w:rFonts w:ascii="Arial" w:eastAsia="Times New Roman" w:hAnsi="Arial" w:cs="Arial"/>
          <w:color w:val="FF0000"/>
        </w:rPr>
        <w:t>Šo noteikumu 4.</w:t>
      </w:r>
      <w:r w:rsidRPr="00FD61BB">
        <w:rPr>
          <w:rFonts w:ascii="Arial" w:eastAsia="Times New Roman" w:hAnsi="Arial" w:cs="Arial"/>
          <w:color w:val="FF0000"/>
          <w:vertAlign w:val="superscript"/>
        </w:rPr>
        <w:t>1</w:t>
      </w:r>
      <w:r w:rsidRPr="00FD61BB">
        <w:rPr>
          <w:rFonts w:ascii="Arial" w:eastAsia="Times New Roman" w:hAnsi="Arial" w:cs="Arial"/>
          <w:color w:val="FF0000"/>
        </w:rPr>
        <w:t> 2. apakšpunktā minētās piemaksas no valsts budžeta tiek nodrošinātas tiem izglītības programmās nodarbinātajiem pedagogiem, kuru pedagoģisko likmju apmaksa tiek finansēta no valsts budžeta piešķirtā finansējuma</w:t>
      </w:r>
      <w:r>
        <w:rPr>
          <w:rFonts w:ascii="Arial" w:eastAsia="Times New Roman" w:hAnsi="Arial" w:cs="Arial"/>
          <w:color w:val="FF0000"/>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5. Uz dotāciju var pretendēt izglītības iestāde, kura ir akreditēta šo noteikumu </w:t>
      </w:r>
      <w:hyperlink r:id="rId17" w:anchor="piel1" w:tgtFrame="_blank" w:history="1">
        <w:r w:rsidRPr="001C5FE1">
          <w:rPr>
            <w:rFonts w:ascii="Arial" w:eastAsia="Times New Roman" w:hAnsi="Arial" w:cs="Arial"/>
            <w:color w:val="16497B"/>
          </w:rPr>
          <w:t>1.pielikumā</w:t>
        </w:r>
      </w:hyperlink>
      <w:r w:rsidRPr="001C5FE1">
        <w:rPr>
          <w:rFonts w:ascii="Arial" w:eastAsia="Times New Roman" w:hAnsi="Arial" w:cs="Arial"/>
          <w:color w:val="414142"/>
        </w:rPr>
        <w:t> minēto izglītības programmu īstenošanā (turpmāk – izglītības iestāde) un kurā licencētās izglītības programmas apgūst ne mazāk kā 30 izglītojamie.</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14" w:name="p6"/>
      <w:bookmarkStart w:id="15" w:name="p-524875"/>
      <w:bookmarkEnd w:id="14"/>
      <w:bookmarkEnd w:id="15"/>
      <w:r w:rsidRPr="001C5FE1">
        <w:rPr>
          <w:rFonts w:ascii="Arial" w:eastAsia="Times New Roman" w:hAnsi="Arial" w:cs="Arial"/>
          <w:color w:val="414142"/>
        </w:rPr>
        <w:t>6. Izglītības iestāde līdz kārtējā gada 1. oktobrim iesniedz Latvijas Nacionālajā kultūras centrā izglītības iestādes dibinātāja apstiprinātu dotācijas pieteikumu nākamajam budžeta gadam (</w:t>
      </w:r>
      <w:hyperlink r:id="rId18" w:anchor="piel2" w:tgtFrame="_blank" w:history="1">
        <w:r w:rsidRPr="001C5FE1">
          <w:rPr>
            <w:rFonts w:ascii="Arial" w:eastAsia="Times New Roman" w:hAnsi="Arial" w:cs="Arial"/>
            <w:color w:val="16497B"/>
          </w:rPr>
          <w:t>2. pielikums</w:t>
        </w:r>
      </w:hyperlink>
      <w:r w:rsidRPr="001C5FE1">
        <w:rPr>
          <w:rFonts w:ascii="Arial" w:eastAsia="Times New Roman" w:hAnsi="Arial" w:cs="Arial"/>
          <w:color w:val="414142"/>
        </w:rPr>
        <w:t>) un normatīvajos aktos noteiktā kārtībā apstiprinātu un saskaņotu tarifikāciju par valsts budžeta finansēto daļu pēc stāvokļa uz kārtējā gada 1. septembri.</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19"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16" w:name="p6.1"/>
      <w:bookmarkStart w:id="17" w:name="p-524876"/>
      <w:bookmarkEnd w:id="16"/>
      <w:bookmarkEnd w:id="17"/>
      <w:r w:rsidRPr="001C5FE1">
        <w:rPr>
          <w:rFonts w:ascii="Arial" w:eastAsia="Times New Roman" w:hAnsi="Arial" w:cs="Arial"/>
          <w:color w:val="414142"/>
        </w:rPr>
        <w:t>6.</w:t>
      </w:r>
      <w:r w:rsidRPr="001C5FE1">
        <w:rPr>
          <w:rFonts w:ascii="Arial" w:eastAsia="Times New Roman" w:hAnsi="Arial" w:cs="Arial"/>
          <w:color w:val="414142"/>
          <w:vertAlign w:val="superscript"/>
        </w:rPr>
        <w:t>1 </w:t>
      </w:r>
      <w:r w:rsidRPr="001C5FE1">
        <w:rPr>
          <w:rFonts w:ascii="Arial" w:eastAsia="Times New Roman" w:hAnsi="Arial" w:cs="Arial"/>
          <w:color w:val="414142"/>
        </w:rPr>
        <w:t>Izglītības iestāde, kas ir akreditēta laikposmā starp attiecīgā gada 1. oktobri un likuma par valsts budžetu nākamajam gadam pieņemšanu, iesniedz šo noteikumu </w:t>
      </w:r>
      <w:hyperlink r:id="rId20" w:anchor="p6" w:tgtFrame="_blank" w:history="1">
        <w:r w:rsidRPr="001C5FE1">
          <w:rPr>
            <w:rFonts w:ascii="Arial" w:eastAsia="Times New Roman" w:hAnsi="Arial" w:cs="Arial"/>
            <w:color w:val="16497B"/>
          </w:rPr>
          <w:t>6. punktā</w:t>
        </w:r>
      </w:hyperlink>
      <w:r w:rsidRPr="001C5FE1">
        <w:rPr>
          <w:rFonts w:ascii="Arial" w:eastAsia="Times New Roman" w:hAnsi="Arial" w:cs="Arial"/>
          <w:color w:val="414142"/>
        </w:rPr>
        <w:t> minēto dotācijas pieteikumu nākamajam budžeta gadam atbilstoši šo noteikumu </w:t>
      </w:r>
      <w:hyperlink r:id="rId21" w:anchor="piel2" w:tgtFrame="_blank" w:history="1">
        <w:r w:rsidRPr="001C5FE1">
          <w:rPr>
            <w:rFonts w:ascii="Arial" w:eastAsia="Times New Roman" w:hAnsi="Arial" w:cs="Arial"/>
            <w:color w:val="16497B"/>
          </w:rPr>
          <w:t>2. pielikumam</w:t>
        </w:r>
      </w:hyperlink>
      <w:r w:rsidRPr="001C5FE1">
        <w:rPr>
          <w:rFonts w:ascii="Arial" w:eastAsia="Times New Roman" w:hAnsi="Arial" w:cs="Arial"/>
          <w:color w:val="414142"/>
        </w:rPr>
        <w:t>, līdz tiek pieņemts likums par valsts budžetu nākamajam gadam.</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22"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p w:rsidR="001C5FE1" w:rsidRDefault="001C5FE1" w:rsidP="001C5FE1">
      <w:pPr>
        <w:shd w:val="clear" w:color="auto" w:fill="FFFFFF"/>
        <w:spacing w:line="293" w:lineRule="atLeast"/>
        <w:ind w:left="-993" w:firstLine="300"/>
        <w:jc w:val="both"/>
        <w:rPr>
          <w:rFonts w:ascii="Arial" w:eastAsia="Times New Roman" w:hAnsi="Arial" w:cs="Arial"/>
          <w:i/>
          <w:iCs/>
          <w:color w:val="414142"/>
        </w:rPr>
      </w:pPr>
      <w:bookmarkStart w:id="18" w:name="p6.2"/>
      <w:bookmarkStart w:id="19" w:name="p-524877"/>
      <w:bookmarkEnd w:id="18"/>
      <w:bookmarkEnd w:id="19"/>
      <w:r w:rsidRPr="001C5FE1">
        <w:rPr>
          <w:rFonts w:ascii="Arial" w:eastAsia="Times New Roman" w:hAnsi="Arial" w:cs="Arial"/>
          <w:color w:val="414142"/>
        </w:rPr>
        <w:t>6.</w:t>
      </w:r>
      <w:r w:rsidRPr="001C5FE1">
        <w:rPr>
          <w:rFonts w:ascii="Arial" w:eastAsia="Times New Roman" w:hAnsi="Arial" w:cs="Arial"/>
          <w:color w:val="414142"/>
          <w:vertAlign w:val="superscript"/>
        </w:rPr>
        <w:t>2</w:t>
      </w:r>
      <w:r w:rsidRPr="001C5FE1">
        <w:rPr>
          <w:rFonts w:ascii="Arial" w:eastAsia="Times New Roman" w:hAnsi="Arial" w:cs="Arial"/>
          <w:color w:val="414142"/>
        </w:rPr>
        <w:t> </w:t>
      </w:r>
      <w:r w:rsidRPr="001C5FE1">
        <w:rPr>
          <w:rFonts w:ascii="Arial" w:eastAsia="Times New Roman" w:hAnsi="Arial" w:cs="Arial"/>
          <w:i/>
          <w:iCs/>
          <w:color w:val="414142"/>
        </w:rPr>
        <w:t>(Svītrots ar MK </w:t>
      </w:r>
      <w:hyperlink r:id="rId23" w:tgtFrame="_blank" w:history="1">
        <w:r w:rsidRPr="001C5FE1">
          <w:rPr>
            <w:rFonts w:ascii="Arial" w:eastAsia="Times New Roman" w:hAnsi="Arial" w:cs="Arial"/>
            <w:i/>
            <w:iCs/>
            <w:color w:val="16497B"/>
          </w:rPr>
          <w:t>26.08.2014.</w:t>
        </w:r>
      </w:hyperlink>
      <w:r w:rsidRPr="001C5FE1">
        <w:rPr>
          <w:rFonts w:ascii="Arial" w:eastAsia="Times New Roman" w:hAnsi="Arial" w:cs="Arial"/>
          <w:i/>
          <w:iCs/>
          <w:color w:val="414142"/>
        </w:rPr>
        <w:t> noteikumiem Nr.510)</w:t>
      </w:r>
    </w:p>
    <w:p w:rsidR="003F0536" w:rsidRPr="001C5FE1" w:rsidRDefault="003F0536" w:rsidP="001C5FE1">
      <w:pPr>
        <w:shd w:val="clear" w:color="auto" w:fill="FFFFFF"/>
        <w:spacing w:line="293" w:lineRule="atLeast"/>
        <w:ind w:left="-993" w:firstLine="300"/>
        <w:jc w:val="both"/>
        <w:rPr>
          <w:rFonts w:ascii="Arial" w:eastAsia="Times New Roman" w:hAnsi="Arial" w:cs="Arial"/>
          <w:color w:val="FF0000"/>
        </w:rPr>
      </w:pPr>
      <w:r w:rsidRPr="00FD61BB">
        <w:rPr>
          <w:rFonts w:ascii="Arial" w:eastAsia="Times New Roman" w:hAnsi="Arial" w:cs="Arial"/>
          <w:color w:val="FF0000"/>
        </w:rPr>
        <w:t>6.</w:t>
      </w:r>
      <w:r w:rsidRPr="00FD61BB">
        <w:rPr>
          <w:rFonts w:ascii="Arial" w:eastAsia="Times New Roman" w:hAnsi="Arial" w:cs="Arial"/>
          <w:color w:val="FF0000"/>
          <w:vertAlign w:val="superscript"/>
        </w:rPr>
        <w:t>3</w:t>
      </w:r>
      <w:r w:rsidRPr="00FD61BB">
        <w:rPr>
          <w:rFonts w:ascii="Arial" w:eastAsia="Times New Roman" w:hAnsi="Arial" w:cs="Arial"/>
          <w:color w:val="FF0000"/>
        </w:rPr>
        <w:t> Dotācija tiek piešķirta vienam izglītojamam, kas vienlaikus apgūst vienu izglītības programmu.</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20" w:name="p7"/>
      <w:bookmarkStart w:id="21" w:name="p-418465"/>
      <w:bookmarkEnd w:id="20"/>
      <w:bookmarkEnd w:id="21"/>
      <w:r w:rsidRPr="001C5FE1">
        <w:rPr>
          <w:rFonts w:ascii="Arial" w:eastAsia="Times New Roman" w:hAnsi="Arial" w:cs="Arial"/>
          <w:color w:val="414142"/>
        </w:rPr>
        <w:t>7. Kopējo dotācijas apmēru, kas attiecīgajā gadā sadalāms starp izglītības programmu īstenotājiem, apstiprina kultūras ministrs, ņemot vērā likumā par valsts budžetu kārtējam gadam šim mērķim paredzēto līdzekļu apmēru.</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22" w:name="p8"/>
      <w:bookmarkStart w:id="23" w:name="p-493531"/>
      <w:bookmarkEnd w:id="22"/>
      <w:bookmarkEnd w:id="23"/>
      <w:r w:rsidRPr="001C5FE1">
        <w:rPr>
          <w:rFonts w:ascii="Arial" w:eastAsia="Times New Roman" w:hAnsi="Arial" w:cs="Arial"/>
          <w:color w:val="414142"/>
        </w:rPr>
        <w:t>8. Kopējo attiecīgajā gadā visās izglītības programmās no valsts budžeta finansējamo pedagogu darba slodžu (kas atbilst vienai mēneša darba algas likmei (turpmāk – pedagoģiskā likme)) skaitu mēnesī nosaka, izmantojot šādu formulu:</w:t>
      </w:r>
    </w:p>
    <w:tbl>
      <w:tblPr>
        <w:tblW w:w="0" w:type="auto"/>
        <w:jc w:val="center"/>
        <w:tblInd w:w="-1789" w:type="dxa"/>
        <w:tblCellMar>
          <w:top w:w="15" w:type="dxa"/>
          <w:left w:w="15" w:type="dxa"/>
          <w:bottom w:w="15" w:type="dxa"/>
          <w:right w:w="15" w:type="dxa"/>
        </w:tblCellMar>
        <w:tblLook w:val="04A0" w:firstRow="1" w:lastRow="0" w:firstColumn="1" w:lastColumn="0" w:noHBand="0" w:noVBand="1"/>
      </w:tblPr>
      <w:tblGrid>
        <w:gridCol w:w="36"/>
        <w:gridCol w:w="2582"/>
        <w:gridCol w:w="36"/>
      </w:tblGrid>
      <w:tr w:rsidR="001C5FE1" w:rsidRPr="001C5FE1" w:rsidTr="00E2616C">
        <w:trPr>
          <w:jc w:val="center"/>
        </w:trPr>
        <w:tc>
          <w:tcPr>
            <w:tcW w:w="0" w:type="auto"/>
            <w:vMerge w:val="restart"/>
            <w:tcBorders>
              <w:top w:val="nil"/>
              <w:left w:val="nil"/>
              <w:bottom w:val="nil"/>
              <w:right w:val="nil"/>
            </w:tcBorders>
            <w:noWrap/>
            <w:vAlign w:val="center"/>
            <w:hideMark/>
          </w:tcPr>
          <w:p w:rsidR="001C5FE1" w:rsidRPr="001C5FE1" w:rsidRDefault="001C5FE1" w:rsidP="001C5FE1">
            <w:pPr>
              <w:ind w:left="-993"/>
              <w:jc w:val="right"/>
              <w:rPr>
                <w:rFonts w:eastAsia="Times New Roman"/>
                <w:color w:val="414142"/>
              </w:rPr>
            </w:pPr>
            <w:r w:rsidRPr="001C5FE1">
              <w:rPr>
                <w:rFonts w:eastAsia="Times New Roman"/>
                <w:color w:val="414142"/>
              </w:rPr>
              <w:t>L =</w:t>
            </w:r>
          </w:p>
        </w:tc>
        <w:tc>
          <w:tcPr>
            <w:tcW w:w="2582" w:type="dxa"/>
            <w:tcBorders>
              <w:top w:val="nil"/>
              <w:left w:val="nil"/>
              <w:bottom w:val="single" w:sz="6" w:space="0" w:color="000000"/>
              <w:right w:val="nil"/>
            </w:tcBorders>
            <w:noWrap/>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(B – ΣK)</w:t>
            </w:r>
          </w:p>
        </w:tc>
        <w:tc>
          <w:tcPr>
            <w:tcW w:w="0" w:type="auto"/>
            <w:vMerge w:val="restart"/>
            <w:tcBorders>
              <w:top w:val="nil"/>
              <w:left w:val="nil"/>
              <w:bottom w:val="nil"/>
              <w:right w:val="nil"/>
            </w:tcBorders>
            <w:noWrap/>
            <w:vAlign w:val="center"/>
            <w:hideMark/>
          </w:tcPr>
          <w:p w:rsidR="001C5FE1" w:rsidRPr="001C5FE1" w:rsidRDefault="001C5FE1" w:rsidP="001C5FE1">
            <w:pPr>
              <w:ind w:left="-993"/>
              <w:rPr>
                <w:rFonts w:eastAsia="Times New Roman"/>
                <w:color w:val="414142"/>
              </w:rPr>
            </w:pPr>
            <w:r w:rsidRPr="001C5FE1">
              <w:rPr>
                <w:rFonts w:eastAsia="Times New Roman"/>
                <w:color w:val="414142"/>
              </w:rPr>
              <w:t>, kur</w:t>
            </w:r>
          </w:p>
        </w:tc>
      </w:tr>
      <w:tr w:rsidR="001C5FE1" w:rsidRPr="001C5FE1" w:rsidTr="00E2616C">
        <w:trPr>
          <w:jc w:val="center"/>
        </w:trPr>
        <w:tc>
          <w:tcPr>
            <w:tcW w:w="0" w:type="auto"/>
            <w:vMerge/>
            <w:tcBorders>
              <w:top w:val="nil"/>
              <w:left w:val="nil"/>
              <w:bottom w:val="nil"/>
              <w:right w:val="nil"/>
            </w:tcBorders>
            <w:vAlign w:val="center"/>
            <w:hideMark/>
          </w:tcPr>
          <w:p w:rsidR="001C5FE1" w:rsidRPr="001C5FE1" w:rsidRDefault="001C5FE1" w:rsidP="001C5FE1">
            <w:pPr>
              <w:ind w:left="-993"/>
              <w:rPr>
                <w:rFonts w:eastAsia="Times New Roman"/>
                <w:color w:val="414142"/>
              </w:rPr>
            </w:pPr>
          </w:p>
        </w:tc>
        <w:tc>
          <w:tcPr>
            <w:tcW w:w="2582" w:type="dxa"/>
            <w:tcBorders>
              <w:top w:val="nil"/>
              <w:left w:val="nil"/>
              <w:bottom w:val="nil"/>
              <w:right w:val="nil"/>
            </w:tcBorders>
            <w:noWrap/>
            <w:vAlign w:val="center"/>
            <w:hideMark/>
          </w:tcPr>
          <w:p w:rsidR="001C5FE1" w:rsidRPr="001C5FE1" w:rsidRDefault="001C5FE1" w:rsidP="00E2616C">
            <w:pPr>
              <w:spacing w:before="100" w:beforeAutospacing="1" w:after="100" w:afterAutospacing="1" w:line="293" w:lineRule="atLeast"/>
              <w:ind w:left="-552" w:firstLine="552"/>
              <w:jc w:val="center"/>
              <w:rPr>
                <w:rFonts w:eastAsia="Times New Roman"/>
                <w:color w:val="414142"/>
              </w:rPr>
            </w:pPr>
            <w:r w:rsidRPr="001C5FE1">
              <w:rPr>
                <w:rFonts w:eastAsia="Times New Roman"/>
                <w:color w:val="414142"/>
              </w:rPr>
              <w:t>A x 12 mēneši x (1 + S)</w:t>
            </w:r>
          </w:p>
        </w:tc>
        <w:tc>
          <w:tcPr>
            <w:tcW w:w="0" w:type="auto"/>
            <w:vMerge/>
            <w:tcBorders>
              <w:top w:val="nil"/>
              <w:left w:val="nil"/>
              <w:bottom w:val="nil"/>
              <w:right w:val="nil"/>
            </w:tcBorders>
            <w:vAlign w:val="center"/>
            <w:hideMark/>
          </w:tcPr>
          <w:p w:rsidR="001C5FE1" w:rsidRPr="001C5FE1" w:rsidRDefault="001C5FE1" w:rsidP="001C5FE1">
            <w:pPr>
              <w:ind w:left="-993"/>
              <w:rPr>
                <w:rFonts w:eastAsia="Times New Roman"/>
                <w:color w:val="414142"/>
              </w:rPr>
            </w:pPr>
          </w:p>
        </w:tc>
      </w:tr>
    </w:tbl>
    <w:p w:rsidR="001C5FE1" w:rsidRPr="001C5FE1" w:rsidRDefault="001C5FE1" w:rsidP="005D42FA">
      <w:pPr>
        <w:shd w:val="clear" w:color="auto" w:fill="FFFFFF"/>
        <w:spacing w:line="293" w:lineRule="atLeast"/>
        <w:ind w:left="-993" w:firstLine="300"/>
        <w:rPr>
          <w:rFonts w:ascii="Arial" w:eastAsia="Times New Roman" w:hAnsi="Arial" w:cs="Arial"/>
          <w:color w:val="414142"/>
        </w:rPr>
      </w:pPr>
      <w:r w:rsidRPr="001C5FE1">
        <w:rPr>
          <w:rFonts w:ascii="Arial" w:eastAsia="Times New Roman" w:hAnsi="Arial" w:cs="Arial"/>
          <w:color w:val="414142"/>
        </w:rPr>
        <w:t>L – kopējais attiecīgajā gadā visās izglītības programmās no valsts budžeta finansējamo pedagoģisko likmju skaits mēnesī;</w:t>
      </w:r>
    </w:p>
    <w:p w:rsidR="001C5FE1" w:rsidRPr="001C5FE1" w:rsidRDefault="001C5FE1" w:rsidP="005D42FA">
      <w:pPr>
        <w:shd w:val="clear" w:color="auto" w:fill="FFFFFF"/>
        <w:spacing w:line="293" w:lineRule="atLeast"/>
        <w:ind w:left="-993" w:firstLine="300"/>
        <w:rPr>
          <w:rFonts w:ascii="Arial" w:eastAsia="Times New Roman" w:hAnsi="Arial" w:cs="Arial"/>
          <w:color w:val="414142"/>
        </w:rPr>
      </w:pPr>
      <w:r w:rsidRPr="001C5FE1">
        <w:rPr>
          <w:rFonts w:ascii="Arial" w:eastAsia="Times New Roman" w:hAnsi="Arial" w:cs="Arial"/>
          <w:color w:val="414142"/>
        </w:rPr>
        <w:t>B – kopējais dotācijas apmērs, kas attiecīgajā gadā sadalāms starp izglītības programmu īstenotājiem;</w:t>
      </w:r>
    </w:p>
    <w:p w:rsidR="001C5FE1" w:rsidRPr="001C5FE1" w:rsidRDefault="001C5FE1" w:rsidP="005D42FA">
      <w:pPr>
        <w:shd w:val="clear" w:color="auto" w:fill="FFFFFF"/>
        <w:spacing w:line="293" w:lineRule="atLeast"/>
        <w:ind w:left="-993" w:firstLine="300"/>
        <w:rPr>
          <w:rFonts w:ascii="Arial" w:eastAsia="Times New Roman" w:hAnsi="Arial" w:cs="Arial"/>
          <w:color w:val="414142"/>
        </w:rPr>
      </w:pPr>
      <w:r w:rsidRPr="001C5FE1">
        <w:rPr>
          <w:rFonts w:ascii="Arial" w:eastAsia="Times New Roman" w:hAnsi="Arial" w:cs="Arial"/>
          <w:color w:val="414142"/>
        </w:rPr>
        <w:t>ΣK – kopējais dotācijas apmērs, kas attiecīgajā gadā tiek piešķirts pedagogu darba samaksas noteikumos noteiktajām pedagoga profesionālās darbības kvalitātes piemaksām;</w:t>
      </w:r>
    </w:p>
    <w:p w:rsidR="001C5FE1" w:rsidRPr="001C5FE1" w:rsidRDefault="001C5FE1" w:rsidP="005D42FA">
      <w:pPr>
        <w:shd w:val="clear" w:color="auto" w:fill="FFFFFF"/>
        <w:spacing w:line="293" w:lineRule="atLeast"/>
        <w:ind w:left="-993" w:firstLine="300"/>
        <w:rPr>
          <w:rFonts w:ascii="Arial" w:eastAsia="Times New Roman" w:hAnsi="Arial" w:cs="Arial"/>
          <w:color w:val="414142"/>
        </w:rPr>
      </w:pPr>
      <w:r w:rsidRPr="001C5FE1">
        <w:rPr>
          <w:rFonts w:ascii="Arial" w:eastAsia="Times New Roman" w:hAnsi="Arial" w:cs="Arial"/>
          <w:color w:val="414142"/>
        </w:rPr>
        <w:t xml:space="preserve">A – vienas pedagoģiskās likmes atalgojums, ņemot vērā attiecīgajā gadā pieejamos valsts budžeta līdzekļus, bet ne mazāks kā normatīvajos aktos noteiktā minimālā darba algas likme </w:t>
      </w:r>
      <w:r w:rsidRPr="001C5FE1">
        <w:rPr>
          <w:rFonts w:ascii="Arial" w:eastAsia="Times New Roman" w:hAnsi="Arial" w:cs="Arial"/>
          <w:strike/>
          <w:color w:val="FF0000"/>
        </w:rPr>
        <w:t>pedagogam ar darba stāžu, lielāku par 10 gadiem</w:t>
      </w:r>
      <w:r w:rsidRPr="001C5FE1">
        <w:rPr>
          <w:rFonts w:ascii="Arial" w:eastAsia="Times New Roman" w:hAnsi="Arial" w:cs="Arial"/>
          <w:color w:val="414142"/>
        </w:rPr>
        <w:t>;</w:t>
      </w:r>
    </w:p>
    <w:p w:rsidR="001C5FE1" w:rsidRPr="001C5FE1" w:rsidRDefault="001C5FE1" w:rsidP="005D42FA">
      <w:pPr>
        <w:shd w:val="clear" w:color="auto" w:fill="FFFFFF"/>
        <w:spacing w:line="293" w:lineRule="atLeast"/>
        <w:ind w:left="-993" w:firstLine="300"/>
        <w:rPr>
          <w:rFonts w:ascii="Arial" w:eastAsia="Times New Roman" w:hAnsi="Arial" w:cs="Arial"/>
          <w:color w:val="414142"/>
        </w:rPr>
      </w:pPr>
      <w:r w:rsidRPr="001C5FE1">
        <w:rPr>
          <w:rFonts w:ascii="Arial" w:eastAsia="Times New Roman" w:hAnsi="Arial" w:cs="Arial"/>
          <w:color w:val="414142"/>
        </w:rPr>
        <w:t>S – normatīvajos aktos darba devējam vispārējā gadījumā noteiktā valsts sociālās apdrošināšanas obligāto iemaksu likme (procentos).</w:t>
      </w:r>
      <w:r w:rsidRPr="001C5FE1">
        <w:rPr>
          <w:rFonts w:ascii="Arial" w:eastAsia="Times New Roman" w:hAnsi="Arial" w:cs="Arial"/>
          <w:color w:val="414142"/>
        </w:rPr>
        <w:br/>
      </w:r>
      <w:r w:rsidRPr="001C5FE1">
        <w:rPr>
          <w:rFonts w:ascii="Arial" w:eastAsia="Times New Roman" w:hAnsi="Arial" w:cs="Arial"/>
          <w:i/>
          <w:iCs/>
          <w:color w:val="414142"/>
          <w:sz w:val="18"/>
          <w:szCs w:val="18"/>
          <w:bdr w:val="none" w:sz="0" w:space="0" w:color="auto" w:frame="1"/>
        </w:rPr>
        <w:t>(MK </w:t>
      </w:r>
      <w:hyperlink r:id="rId24" w:tgtFrame="_blank" w:history="1">
        <w:r w:rsidRPr="001C5FE1">
          <w:rPr>
            <w:rFonts w:ascii="Arial" w:eastAsia="Times New Roman" w:hAnsi="Arial" w:cs="Arial"/>
            <w:i/>
            <w:iCs/>
            <w:color w:val="16497B"/>
            <w:sz w:val="18"/>
            <w:szCs w:val="18"/>
            <w:bdr w:val="none" w:sz="0" w:space="0" w:color="auto" w:frame="1"/>
          </w:rPr>
          <w:t>29.10.2013.</w:t>
        </w:r>
      </w:hyperlink>
      <w:r w:rsidRPr="001C5FE1">
        <w:rPr>
          <w:rFonts w:ascii="Arial" w:eastAsia="Times New Roman" w:hAnsi="Arial" w:cs="Arial"/>
          <w:i/>
          <w:iCs/>
          <w:color w:val="414142"/>
          <w:sz w:val="18"/>
          <w:szCs w:val="18"/>
          <w:bdr w:val="none" w:sz="0" w:space="0" w:color="auto" w:frame="1"/>
        </w:rPr>
        <w:t> noteikumu Nr.1233 redakcijā)</w:t>
      </w:r>
    </w:p>
    <w:p w:rsidR="001C5FE1" w:rsidRPr="001C5FE1" w:rsidRDefault="001C5FE1" w:rsidP="005D42FA">
      <w:pPr>
        <w:shd w:val="clear" w:color="auto" w:fill="FFFFFF"/>
        <w:spacing w:line="293" w:lineRule="atLeast"/>
        <w:ind w:left="-993" w:firstLine="300"/>
        <w:jc w:val="both"/>
        <w:rPr>
          <w:rFonts w:ascii="Arial" w:eastAsia="Times New Roman" w:hAnsi="Arial" w:cs="Arial"/>
          <w:color w:val="414142"/>
        </w:rPr>
      </w:pPr>
      <w:bookmarkStart w:id="24" w:name="p9"/>
      <w:bookmarkStart w:id="25" w:name="p-493533"/>
      <w:bookmarkEnd w:id="24"/>
      <w:bookmarkEnd w:id="25"/>
      <w:r w:rsidRPr="001C5FE1">
        <w:rPr>
          <w:rFonts w:ascii="Arial" w:eastAsia="Times New Roman" w:hAnsi="Arial" w:cs="Arial"/>
          <w:color w:val="414142"/>
        </w:rPr>
        <w:t>9. Latvijas Nacionālais kultūras centrs ar rīkojumu izveido konsultatīvo komisij</w:t>
      </w:r>
      <w:bookmarkStart w:id="26" w:name="_GoBack"/>
      <w:bookmarkEnd w:id="26"/>
      <w:r w:rsidRPr="001C5FE1">
        <w:rPr>
          <w:rFonts w:ascii="Arial" w:eastAsia="Times New Roman" w:hAnsi="Arial" w:cs="Arial"/>
          <w:color w:val="414142"/>
        </w:rPr>
        <w:t>u (turpmāk – komisija). Komisijā ietilpst Latvijas plānošanas reģionu, Latvijas Mūzikas izglītības iestāžu asociācijas, Latvijas Mākslas skolas skolotāju asociācijas, Kultūrizglītības profesionālās ievirzes izglītības iestāžu direktoru padomes, Latvijas Nacionālā kultūras centra un Kultūras ministrijas deleģēti pārstāvji. Komisijas darbs netiek atalgots.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25"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noteikumu Nr.1233 redakcijā; punkta jaunā redakcija stājas spēkā </w:t>
      </w:r>
      <w:hyperlink r:id="rId26"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27"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28"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27" w:name="p10"/>
      <w:bookmarkStart w:id="28" w:name="p-493534"/>
      <w:bookmarkEnd w:id="27"/>
      <w:bookmarkEnd w:id="28"/>
      <w:r w:rsidRPr="001C5FE1">
        <w:rPr>
          <w:rFonts w:ascii="Arial" w:eastAsia="Times New Roman" w:hAnsi="Arial" w:cs="Arial"/>
          <w:color w:val="414142"/>
        </w:rPr>
        <w:t>10. Komisija sniedz Latvijas Nacionālajam kultūras centram ieteikumus, lai noteiktu no valsts budžeta finansējamo izglītojamo skaitu, ņemot vērā:</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10.1. attiecīgajā gadā valsts budžetā šim mērķim paredzētos līdzekļus;</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10.2. atbilstoši šo noteikumu </w:t>
      </w:r>
      <w:hyperlink r:id="rId29" w:anchor="p8" w:tgtFrame="_blank" w:history="1">
        <w:r w:rsidRPr="001C5FE1">
          <w:rPr>
            <w:rFonts w:ascii="Arial" w:eastAsia="Times New Roman" w:hAnsi="Arial" w:cs="Arial"/>
            <w:color w:val="16497B"/>
          </w:rPr>
          <w:t>8.punktam</w:t>
        </w:r>
      </w:hyperlink>
      <w:r w:rsidRPr="001C5FE1">
        <w:rPr>
          <w:rFonts w:ascii="Arial" w:eastAsia="Times New Roman" w:hAnsi="Arial" w:cs="Arial"/>
          <w:color w:val="414142"/>
        </w:rPr>
        <w:t> Latvijas Nacionālā kultūras centra noteikto kopējo attiecīgajā gadā visās izglītības programmās no valsts budžeta finansējamo pedagoģisko likmju skaitu mēnesī (L);</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10.3. izglītības iestāžu iesniegtajos pieteikumos norādīto audzēkņu skaitu;</w:t>
      </w:r>
    </w:p>
    <w:p w:rsidR="003F0536" w:rsidRDefault="001C5FE1" w:rsidP="003F0536">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10.4. izglītības iestāžu īstenotās izglītības programmas un izglītības iestāžu pieteikumos norādīto audzēkņu kopējo sadalījumu attiecīgajās programmās;</w:t>
      </w:r>
    </w:p>
    <w:p w:rsidR="003F0536" w:rsidRPr="00FD61BB" w:rsidRDefault="003F0536" w:rsidP="003F0536">
      <w:pPr>
        <w:shd w:val="clear" w:color="auto" w:fill="FFFFFF"/>
        <w:spacing w:line="293" w:lineRule="atLeast"/>
        <w:ind w:left="-993" w:firstLine="300"/>
        <w:jc w:val="both"/>
        <w:rPr>
          <w:rFonts w:ascii="Arial" w:eastAsia="Times New Roman" w:hAnsi="Arial" w:cs="Arial"/>
          <w:color w:val="FF0000"/>
        </w:rPr>
      </w:pPr>
      <w:r w:rsidRPr="00FD61BB">
        <w:rPr>
          <w:rFonts w:ascii="Arial" w:eastAsia="Times New Roman" w:hAnsi="Arial" w:cs="Arial"/>
          <w:color w:val="FF0000"/>
        </w:rPr>
        <w:t>10.4.</w:t>
      </w:r>
      <w:r w:rsidRPr="00FD61BB">
        <w:rPr>
          <w:rFonts w:ascii="Arial" w:eastAsia="Times New Roman" w:hAnsi="Arial" w:cs="Arial"/>
          <w:color w:val="FF0000"/>
          <w:vertAlign w:val="superscript"/>
        </w:rPr>
        <w:t>1</w:t>
      </w:r>
      <w:r w:rsidRPr="00FD61BB">
        <w:rPr>
          <w:rFonts w:ascii="Arial" w:eastAsia="Times New Roman" w:hAnsi="Arial" w:cs="Arial"/>
          <w:color w:val="FF0000"/>
        </w:rPr>
        <w:t> izglītības iestāžu izglītojamo dalību Latvijas Nacionālā kultūras centra organizētajos valsts konkursos;</w:t>
      </w:r>
    </w:p>
    <w:p w:rsidR="003F0536" w:rsidRPr="003F0536" w:rsidRDefault="003F0536" w:rsidP="003F0536">
      <w:pPr>
        <w:shd w:val="clear" w:color="auto" w:fill="FFFFFF"/>
        <w:spacing w:line="293" w:lineRule="atLeast"/>
        <w:ind w:left="-993" w:firstLine="300"/>
        <w:jc w:val="both"/>
        <w:rPr>
          <w:rFonts w:ascii="Arial" w:eastAsia="Times New Roman" w:hAnsi="Arial" w:cs="Arial"/>
          <w:color w:val="FF0000"/>
        </w:rPr>
      </w:pPr>
      <w:r w:rsidRPr="00FD61BB">
        <w:rPr>
          <w:rFonts w:ascii="Arial" w:eastAsia="Times New Roman" w:hAnsi="Arial" w:cs="Arial"/>
          <w:color w:val="FF0000"/>
        </w:rPr>
        <w:t>10.4.</w:t>
      </w:r>
      <w:r w:rsidRPr="00FD61BB">
        <w:rPr>
          <w:rFonts w:ascii="Arial" w:eastAsia="Times New Roman" w:hAnsi="Arial" w:cs="Arial"/>
          <w:color w:val="FF0000"/>
          <w:vertAlign w:val="superscript"/>
        </w:rPr>
        <w:t>2 </w:t>
      </w:r>
      <w:r w:rsidRPr="00FD61BB">
        <w:rPr>
          <w:rFonts w:ascii="Arial" w:eastAsia="Times New Roman" w:hAnsi="Arial" w:cs="Arial"/>
          <w:color w:val="FF0000"/>
        </w:rPr>
        <w:t>izglītības iestāžu ieguldījumu kultūrvides uzlabošanā</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10.5. citus, pēc komisijas ieskata, būtiskus apsvērumus.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30"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noteikumiem Nr.1233; grozījumi punktā stājas spēkā </w:t>
      </w:r>
      <w:hyperlink r:id="rId31"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32"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33"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29" w:name="p11"/>
      <w:bookmarkStart w:id="30" w:name="p-493535"/>
      <w:bookmarkEnd w:id="29"/>
      <w:bookmarkEnd w:id="30"/>
      <w:r w:rsidRPr="001C5FE1">
        <w:rPr>
          <w:rFonts w:ascii="Arial" w:eastAsia="Times New Roman" w:hAnsi="Arial" w:cs="Arial"/>
          <w:color w:val="414142"/>
        </w:rPr>
        <w:t>11. Latvijas Nacionālais kultūras centrs nosaka no valsts budžeta finansējamo izglītojamo kopējo skaitu un sadalījumu pa izglītības iestādēm attiecīgajā gadā, ņemot vērā komisijas ieteikumus un attiecīgajā gadā valsts budžetā šim mērķim paredzētos līdzekļus.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34"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noteikumiem Nr.1233; grozījumi punktā stājas spēkā </w:t>
      </w:r>
      <w:hyperlink r:id="rId35"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36"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37"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31" w:name="p12"/>
      <w:bookmarkStart w:id="32" w:name="p-493536"/>
      <w:bookmarkEnd w:id="31"/>
      <w:bookmarkEnd w:id="32"/>
      <w:r w:rsidRPr="001C5FE1">
        <w:rPr>
          <w:rFonts w:ascii="Arial" w:eastAsia="Times New Roman" w:hAnsi="Arial" w:cs="Arial"/>
          <w:color w:val="414142"/>
        </w:rPr>
        <w:t>12. Dotācijas apmēru gadā vienai izglītības programmai attiecīgajā izglītības iestādē nosaka, izmantojot šādu formulu:</w:t>
      </w:r>
    </w:p>
    <w:p w:rsidR="001C5FE1" w:rsidRPr="001C5FE1" w:rsidRDefault="001C5FE1" w:rsidP="001C5FE1">
      <w:pPr>
        <w:shd w:val="clear" w:color="auto" w:fill="FFFFFF"/>
        <w:ind w:left="-993"/>
        <w:jc w:val="center"/>
        <w:rPr>
          <w:rFonts w:ascii="Arial" w:eastAsia="Times New Roman" w:hAnsi="Arial" w:cs="Arial"/>
          <w:color w:val="414142"/>
        </w:rPr>
      </w:pPr>
      <w:r w:rsidRPr="001C5FE1">
        <w:rPr>
          <w:rFonts w:ascii="Arial" w:eastAsia="Times New Roman" w:hAnsi="Arial" w:cs="Arial"/>
          <w:color w:val="414142"/>
        </w:rPr>
        <w:t>F = I x P x A x N x (1 + S) + K, kur</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F – dotācijas apmērs gadā vienai izglītības programmai attiecīgajā izglītības iestādē;</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I – atbilstoši šo noteikumu </w:t>
      </w:r>
      <w:hyperlink r:id="rId38" w:anchor="p11" w:tgtFrame="_blank" w:history="1">
        <w:r w:rsidRPr="001C5FE1">
          <w:rPr>
            <w:rFonts w:ascii="Arial" w:eastAsia="Times New Roman" w:hAnsi="Arial" w:cs="Arial"/>
            <w:color w:val="16497B"/>
          </w:rPr>
          <w:t>11.punktam</w:t>
        </w:r>
      </w:hyperlink>
      <w:r w:rsidRPr="001C5FE1">
        <w:rPr>
          <w:rFonts w:ascii="Arial" w:eastAsia="Times New Roman" w:hAnsi="Arial" w:cs="Arial"/>
          <w:color w:val="414142"/>
        </w:rPr>
        <w:t> noteiktais no valsts budžeta finansēto izglītojamo skaits izglītības programmā attiecīgajā izglītības iestādē;</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P – izglītības programmā vidējais apmaksājamo pedagoģisko likmju skaits mēnesī uz vienu izglītojamo;</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 xml:space="preserve">A – vienas pedagoģiskās likmes atalgojums, ņemot vērā attiecīgajā gadā pieejamos valsts budžeta līdzekļus, bet ne mazāks kā normatīvajos aktos noteiktā minimālā darba algas likme </w:t>
      </w:r>
      <w:r w:rsidRPr="001C5FE1">
        <w:rPr>
          <w:rFonts w:ascii="Arial" w:eastAsia="Times New Roman" w:hAnsi="Arial" w:cs="Arial"/>
          <w:strike/>
          <w:color w:val="FF0000"/>
        </w:rPr>
        <w:t>pedagogam ar darba stāžu, lielāku par 10 gadiem</w:t>
      </w:r>
      <w:r w:rsidRPr="001C5FE1">
        <w:rPr>
          <w:rFonts w:ascii="Arial" w:eastAsia="Times New Roman" w:hAnsi="Arial" w:cs="Arial"/>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N – mēnešu skaits, kādam tiek aprēķināta dotācija;</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S – normatīvajos aktos darba devējam vispārējā gadījumā noteiktā valsts sociālās apdrošināšanas obligāto iemaksu likme (procentos);</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K – dotācijas apmērs pedagogu darba samaksas noteikumos noteiktajām pedagoga profesionālās darbības kvalitātes piemaksām.</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lastRenderedPageBreak/>
        <w:t>(MK </w:t>
      </w:r>
      <w:hyperlink r:id="rId39"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noteikumu Nr.1233 redakcijā)</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33" w:name="p12.1"/>
      <w:bookmarkStart w:id="34" w:name="p-524878"/>
      <w:bookmarkEnd w:id="33"/>
      <w:bookmarkEnd w:id="34"/>
      <w:r w:rsidRPr="001C5FE1">
        <w:rPr>
          <w:rFonts w:ascii="Arial" w:eastAsia="Times New Roman" w:hAnsi="Arial" w:cs="Arial"/>
          <w:color w:val="414142"/>
        </w:rPr>
        <w:t>12.</w:t>
      </w:r>
      <w:r w:rsidRPr="001C5FE1">
        <w:rPr>
          <w:rFonts w:ascii="Arial" w:eastAsia="Times New Roman" w:hAnsi="Arial" w:cs="Arial"/>
          <w:color w:val="414142"/>
          <w:vertAlign w:val="superscript"/>
        </w:rPr>
        <w:t>1 </w:t>
      </w:r>
      <w:r w:rsidRPr="001C5FE1">
        <w:rPr>
          <w:rFonts w:ascii="Arial" w:eastAsia="Times New Roman" w:hAnsi="Arial" w:cs="Arial"/>
          <w:color w:val="414142"/>
        </w:rPr>
        <w:t>Dotācijas apmēru pedagogu darba samaksas noteikumos noteiktajām pedagoga profesionālās darbības kvalitātes piemaksām attiecīgajā izglītības iestādē nosaka, izmantojot šādu formulu:</w:t>
      </w:r>
    </w:p>
    <w:p w:rsidR="001C5FE1" w:rsidRPr="001C5FE1" w:rsidRDefault="001C5FE1" w:rsidP="001C5FE1">
      <w:pPr>
        <w:shd w:val="clear" w:color="auto" w:fill="FFFFFF"/>
        <w:ind w:left="-993"/>
        <w:jc w:val="center"/>
        <w:rPr>
          <w:rFonts w:ascii="Arial" w:eastAsia="Times New Roman" w:hAnsi="Arial" w:cs="Arial"/>
          <w:color w:val="414142"/>
        </w:rPr>
      </w:pPr>
      <w:r w:rsidRPr="001C5FE1">
        <w:rPr>
          <w:rFonts w:ascii="Arial" w:eastAsia="Times New Roman" w:hAnsi="Arial" w:cs="Arial"/>
          <w:color w:val="414142"/>
        </w:rPr>
        <w:t xml:space="preserve">ΣK = </w:t>
      </w:r>
      <w:proofErr w:type="spellStart"/>
      <w:r w:rsidRPr="001C5FE1">
        <w:rPr>
          <w:rFonts w:ascii="Arial" w:eastAsia="Times New Roman" w:hAnsi="Arial" w:cs="Arial"/>
          <w:color w:val="414142"/>
        </w:rPr>
        <w:t>Pk</w:t>
      </w:r>
      <w:proofErr w:type="spellEnd"/>
      <w:r w:rsidRPr="001C5FE1">
        <w:rPr>
          <w:rFonts w:ascii="Arial" w:eastAsia="Times New Roman" w:hAnsi="Arial" w:cs="Arial"/>
          <w:color w:val="414142"/>
        </w:rPr>
        <w:t xml:space="preserve"> x M x N x (1 + S), kur</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ΣK – dotācijas apmērs pedagogu darba samaksas noteikumos noteiktajām pedagoga profesionālās darbības kvalitātes piemaksām (nosaka, summējot 3., 4. un 5. kvalitātes pakāpei paredzēto piemaksu apmēru);</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proofErr w:type="spellStart"/>
      <w:r w:rsidRPr="001C5FE1">
        <w:rPr>
          <w:rFonts w:ascii="Arial" w:eastAsia="Times New Roman" w:hAnsi="Arial" w:cs="Arial"/>
          <w:color w:val="414142"/>
        </w:rPr>
        <w:t>Pk</w:t>
      </w:r>
      <w:proofErr w:type="spellEnd"/>
      <w:r w:rsidRPr="001C5FE1">
        <w:rPr>
          <w:rFonts w:ascii="Arial" w:eastAsia="Times New Roman" w:hAnsi="Arial" w:cs="Arial"/>
          <w:color w:val="414142"/>
        </w:rPr>
        <w:t xml:space="preserve"> – no valsts budžeta finansējuma tarificēto pedagoģisko likmju skaits attiecīgās izglītības iestādes pedagogiem, kuri normatīvajos aktos noteiktajā kārtībā ir ieguvuši 3., 4. vai 5. kvalitātes pakāpi;</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M – pedagogu darba samaksas noteikumos noteiktais kvalitātes pakāpes piemaksas apmērs 3., 4. vai 5. kvalitātes pakāpei;</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N – mēnešu skaits, kādam tiek aprēķināta dotācija;</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S – normatīvajos aktos darba devējam vispārējā gadījumā noteiktā valsts sociālās apdrošināšanas obligāto iemaksu likme (procentos).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40"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bookmarkStart w:id="35" w:name="p13"/>
      <w:bookmarkStart w:id="36" w:name="p-493538"/>
      <w:bookmarkEnd w:id="35"/>
      <w:bookmarkEnd w:id="36"/>
      <w:r w:rsidRPr="001C5FE1">
        <w:rPr>
          <w:rFonts w:ascii="Arial" w:eastAsia="Times New Roman" w:hAnsi="Arial" w:cs="Arial"/>
          <w:strike/>
          <w:color w:val="FF0000"/>
        </w:rPr>
        <w:t>13. Izglītības programmā pedagogam vidējo apmaksājamo pedagoģisko likmju skaits mēnesī uz vienu izglītojamo (P) ir:</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13.1. profesionālās ievirzes mūzikas programmās, kurās izglītojamais uzsāk mācības paralēli vispārējās pamatizglītības 1.−6.klasei (kods 10V), – 0,083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13.2. profesionālās ievirzes mūzikas programmās, kurās izglītojamais uzsāk mācības paralēli vispārējās pamatizglītības 1.−9.klasei (kods 20V), – 0,113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13.3. profesionālās ievirzes mūzikas programmās, kurās izglītojamais uzsāk mācības paralēli vispārējās vidējās izglītības ieguvei (kods 30V), – 0,156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13.4. profesionālās ievirzes mākslas programmās, kurās izglītojamais uzsāk mācības paralēli vispārējās pamatizglītības 1.−9.klasei (kods 20V), – 0,042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13.5. profesionālās ievirzes mākslas programmās, kurās izglītojamais uzsāk mācības paralēli vispārējās vidējās izglītības ieguvei (kods 30V), – 0,046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13.6. profesionālās ievirzes dejas programmās, kurās izglītojamais uzsāk mācības paralēli vispārējās pamatizglītības 1.−9.klasei (kods 20V), – 0,038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strike/>
          <w:color w:val="FF0000"/>
        </w:rPr>
      </w:pPr>
      <w:r w:rsidRPr="001C5FE1">
        <w:rPr>
          <w:rFonts w:ascii="Arial" w:eastAsia="Times New Roman" w:hAnsi="Arial" w:cs="Arial"/>
          <w:strike/>
          <w:color w:val="FF0000"/>
        </w:rPr>
        <w:t>13.7. profesionālās ievirzes dejas programmās, kurās izglītojamais uzsāk mācības paralēli vispārējās vidējās izglītības ieguvei (kods 30V), – 0,032 pedagoģiskās likmes vienam izglītojamam.</w:t>
      </w:r>
    </w:p>
    <w:p w:rsidR="003F0536" w:rsidRDefault="001C5FE1" w:rsidP="003F0536">
      <w:pPr>
        <w:shd w:val="clear" w:color="auto" w:fill="FFFFFF"/>
        <w:spacing w:before="45" w:line="248" w:lineRule="atLeast"/>
        <w:ind w:left="-993" w:firstLine="300"/>
        <w:jc w:val="both"/>
        <w:rPr>
          <w:rFonts w:ascii="Arial" w:eastAsia="Times New Roman" w:hAnsi="Arial" w:cs="Arial"/>
          <w:i/>
          <w:iCs/>
          <w:strike/>
          <w:color w:val="FF0000"/>
        </w:rPr>
      </w:pPr>
      <w:r w:rsidRPr="001C5FE1">
        <w:rPr>
          <w:rFonts w:ascii="Arial" w:eastAsia="Times New Roman" w:hAnsi="Arial" w:cs="Arial"/>
          <w:i/>
          <w:iCs/>
          <w:strike/>
          <w:color w:val="FF0000"/>
        </w:rPr>
        <w:t>(Punkts stājas spēkā </w:t>
      </w:r>
      <w:hyperlink r:id="rId41" w:tgtFrame="_blank" w:history="1">
        <w:r w:rsidRPr="001C5FE1">
          <w:rPr>
            <w:rFonts w:ascii="Arial" w:eastAsia="Times New Roman" w:hAnsi="Arial" w:cs="Arial"/>
            <w:i/>
            <w:iCs/>
            <w:strike/>
            <w:color w:val="FF0000"/>
          </w:rPr>
          <w:t>01.01.2014.</w:t>
        </w:r>
      </w:hyperlink>
      <w:r w:rsidRPr="001C5FE1">
        <w:rPr>
          <w:rFonts w:ascii="Arial" w:eastAsia="Times New Roman" w:hAnsi="Arial" w:cs="Arial"/>
          <w:i/>
          <w:iCs/>
          <w:strike/>
          <w:color w:val="FF0000"/>
        </w:rPr>
        <w:t>, sk. </w:t>
      </w:r>
      <w:hyperlink r:id="rId42" w:anchor="p27" w:tgtFrame="_blank" w:history="1">
        <w:r w:rsidRPr="001C5FE1">
          <w:rPr>
            <w:rFonts w:ascii="Arial" w:eastAsia="Times New Roman" w:hAnsi="Arial" w:cs="Arial"/>
            <w:i/>
            <w:iCs/>
            <w:strike/>
            <w:color w:val="FF0000"/>
          </w:rPr>
          <w:t>27.punktu</w:t>
        </w:r>
      </w:hyperlink>
      <w:r w:rsidRPr="001C5FE1">
        <w:rPr>
          <w:rFonts w:ascii="Arial" w:eastAsia="Times New Roman" w:hAnsi="Arial" w:cs="Arial"/>
          <w:i/>
          <w:iCs/>
          <w:strike/>
          <w:color w:val="FF0000"/>
        </w:rPr>
        <w:t>)</w:t>
      </w:r>
      <w:bookmarkStart w:id="37" w:name="p14"/>
      <w:bookmarkStart w:id="38" w:name="p-418474"/>
      <w:bookmarkEnd w:id="37"/>
      <w:bookmarkEnd w:id="38"/>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 Izglītības programmā pedagogam vidējo apmaksājamo pedagoģisko likmju skaits mēnesī uz vienu izglītojamo (P) ir:</w:t>
      </w:r>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13.1. profesionālās ievirzes mūzikas programmās, kurās izglītojamais uzsāk mācības paralēli vispārējās pamatizglītības 1.−6. klasei (kods 10V), - 0,062 pedagoģiskās likmes vienam izglītojamam;</w:t>
      </w:r>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13.2. profesionālās ievirzes mūzikas programmās, kurās izglītojamais uzsāk mācības paralēli vispārējās pamatizglītības 1.−9. klasei (kods 20V), - 0,110 pedagoģiskās likmes vienam izglītojamam;</w:t>
      </w:r>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13.3. profesionālās ievirzes mūzikas programmās, kurās izglītojamais uzsāk mācības paralēli vispārējās vidējās izglītības ieguvei (kods 30V), - 0,116 pedagoģiskās likmes vienam izglītojamam;</w:t>
      </w:r>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13.4. profesionālās ievirzes mākslas programmās, kurās izglītojamais uzsāk mācības paralēli vispārējās pamatizglītības 1.−9. klasei (kods 20V), - 0,034 pedagoģiskās likmes vienam izglītojamam;</w:t>
      </w:r>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13.5. profesionālās ievirzes mākslas programmās, kurās izglītojamais uzsāk mācības paralēli vispārējās vidējās izglītības ieguvei (kods 30V), - 0,034 pedagoģiskās likmes vienam izglītojamam;</w:t>
      </w:r>
    </w:p>
    <w:p w:rsidR="003F0536" w:rsidRPr="003F0536"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13.6. profesionālās ievirzes dejas programmās, kurās izglītojamais uzsāk mācības paralēli vispārējās pamatizglītības 1.−9. klasei (kods 20V), - 0,028 pedagoģiskās likmes vienam izglītojamam;</w:t>
      </w:r>
    </w:p>
    <w:p w:rsidR="003F0536" w:rsidRPr="00FD61BB" w:rsidRDefault="003F0536" w:rsidP="003F0536">
      <w:pPr>
        <w:shd w:val="clear" w:color="auto" w:fill="FFFFFF"/>
        <w:spacing w:before="45" w:line="248" w:lineRule="atLeast"/>
        <w:ind w:left="-993" w:firstLine="300"/>
        <w:jc w:val="both"/>
        <w:rPr>
          <w:rFonts w:ascii="Arial" w:eastAsia="Times New Roman" w:hAnsi="Arial" w:cs="Arial"/>
          <w:i/>
          <w:iCs/>
          <w:strike/>
          <w:color w:val="FF0000"/>
        </w:rPr>
      </w:pPr>
      <w:r w:rsidRPr="00FD61BB">
        <w:rPr>
          <w:rFonts w:ascii="Arial" w:eastAsia="Times New Roman" w:hAnsi="Arial" w:cs="Arial"/>
          <w:color w:val="FF0000"/>
        </w:rPr>
        <w:t>13.7. profesionālās ievirzes dejas programmās, kurās izglītojamais uzsāk mācības paralēli vispārējās vidējās izglītības ieguvei (kods 30V), - 0,024 pedagoģiskās likmes vienam izglītojamam;</w:t>
      </w:r>
    </w:p>
    <w:p w:rsidR="003F0536" w:rsidRPr="003F0536" w:rsidRDefault="003F0536" w:rsidP="003F0536">
      <w:pPr>
        <w:shd w:val="clear" w:color="auto" w:fill="FFFFFF"/>
        <w:spacing w:line="293" w:lineRule="atLeast"/>
        <w:ind w:left="-993" w:firstLine="300"/>
        <w:jc w:val="both"/>
        <w:rPr>
          <w:rFonts w:ascii="Arial" w:eastAsia="Times New Roman" w:hAnsi="Arial" w:cs="Arial"/>
          <w:color w:val="FF0000"/>
        </w:rPr>
      </w:pPr>
      <w:r w:rsidRPr="00FD61BB">
        <w:rPr>
          <w:rFonts w:ascii="Arial" w:eastAsia="Times New Roman" w:hAnsi="Arial" w:cs="Arial"/>
          <w:color w:val="FF0000"/>
        </w:rPr>
        <w:t>13.8. profesionālās ievirzes teātra izglītības programmās, kurās izglītojamais uzsāk mācības paralēli vispārējās vidējās izglītības ieguvei (kods 30V), - 0,097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14. Dotācijas apmēru gadā izglītības iestādei nosaka, summējot visu izglītības iestādes īstenoto izglītības programmu dotācijas apmēru, kas noteikts atbilstoši šo noteikumu</w:t>
      </w:r>
      <w:hyperlink r:id="rId43" w:anchor="p12" w:tgtFrame="_blank" w:history="1">
        <w:r w:rsidRPr="001C5FE1">
          <w:rPr>
            <w:rFonts w:ascii="Arial" w:eastAsia="Times New Roman" w:hAnsi="Arial" w:cs="Arial"/>
            <w:color w:val="16497B"/>
          </w:rPr>
          <w:t>12.punktam</w:t>
        </w:r>
      </w:hyperlink>
      <w:r w:rsidRPr="001C5FE1">
        <w:rPr>
          <w:rFonts w:ascii="Arial" w:eastAsia="Times New Roman" w:hAnsi="Arial" w:cs="Arial"/>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39" w:name="p15"/>
      <w:bookmarkStart w:id="40" w:name="p-493539"/>
      <w:bookmarkEnd w:id="39"/>
      <w:bookmarkEnd w:id="40"/>
      <w:r w:rsidRPr="001C5FE1">
        <w:rPr>
          <w:rFonts w:ascii="Arial" w:eastAsia="Times New Roman" w:hAnsi="Arial" w:cs="Arial"/>
          <w:color w:val="414142"/>
        </w:rPr>
        <w:lastRenderedPageBreak/>
        <w:t>15. Dotācijas apmēru katrai izglītības iestādei Latvijas Nacionālais kultūras centrs aprēķina mēneša laikā pēc likuma par valsts budžetu kārtējam gadam vai budžeta grozījumu pieņemšanas. Dotācijas apmēru katrai izglītības iestādei, pamatojoties uz Latvijas Nacionālā kultūras centra aprēķinu, apstiprina kultūras ministrs.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44"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noteikumu Nr.1233 redakcijā; punkta jaunā redakcija stājas spēkā </w:t>
      </w:r>
      <w:hyperlink r:id="rId45"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46"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47"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41" w:name="p16"/>
      <w:bookmarkStart w:id="42" w:name="p-493540"/>
      <w:bookmarkEnd w:id="41"/>
      <w:bookmarkEnd w:id="42"/>
      <w:r w:rsidRPr="001C5FE1">
        <w:rPr>
          <w:rFonts w:ascii="Arial" w:eastAsia="Times New Roman" w:hAnsi="Arial" w:cs="Arial"/>
          <w:color w:val="414142"/>
        </w:rPr>
        <w:t>16. Dotācija atbilstoši apstiprinātajam dotācijas sadalījumam tiek pārskaitīta izglītības iestādei saskaņā ar Latvijas Nacionālā kultūras centra un izglītības iestādes noslēgto finansēšanas līgumu. Ja dotācijas saņēmējs ir pašvaldības dibināta izglītības iestāde, dotācija tiek pārskaitīta iestādes dibinātājam saskaņā ar Latvijas Nacionālā kultūras centra, izglītības iestādes un izglītības iestādes dibinātāja noslēgto finansēšanas līgumu.</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48"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noteikumiem Nr.1233; grozījumi punktā stājas spēkā </w:t>
      </w:r>
      <w:hyperlink r:id="rId49"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50"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51"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43" w:name="p17"/>
      <w:bookmarkStart w:id="44" w:name="p-493541"/>
      <w:bookmarkEnd w:id="43"/>
      <w:bookmarkEnd w:id="44"/>
      <w:r w:rsidRPr="001C5FE1">
        <w:rPr>
          <w:rFonts w:ascii="Arial" w:eastAsia="Times New Roman" w:hAnsi="Arial" w:cs="Arial"/>
          <w:color w:val="414142"/>
        </w:rPr>
        <w:t>17. Izglītības iestāde nodrošina, ka kārtējā gadā no valsts budžeta apmaksājamo izglītojamo skaits nav mazāks kā Latvijas Nacionālā kultūras centra noteiktais no valsts budžeta apmaksājamo izglītojamo skaits.</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52"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noteikumiem Nr.1233; grozījumi punktā stājas spēkā </w:t>
      </w:r>
      <w:hyperlink r:id="rId53"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54"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55"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45" w:name="p18"/>
      <w:bookmarkStart w:id="46" w:name="p-524879"/>
      <w:bookmarkEnd w:id="45"/>
      <w:bookmarkEnd w:id="46"/>
      <w:r w:rsidRPr="001C5FE1">
        <w:rPr>
          <w:rFonts w:ascii="Arial" w:eastAsia="Times New Roman" w:hAnsi="Arial" w:cs="Arial"/>
          <w:color w:val="414142"/>
        </w:rPr>
        <w:t>18. Latvijas Nacionālais kultūras centrs kontrolē dotācijas izlietojumu atbilstoši noslēgtā finansēšanas līguma nosacījumiem. Izglītības iestādes dibinātājs līdz kārtējā gada 10. janvārim iesniedz pārskatu saskaņā ar šo noteikumu </w:t>
      </w:r>
      <w:hyperlink r:id="rId56" w:anchor="piel3" w:tgtFrame="_blank" w:history="1">
        <w:r w:rsidRPr="001C5FE1">
          <w:rPr>
            <w:rFonts w:ascii="Arial" w:eastAsia="Times New Roman" w:hAnsi="Arial" w:cs="Arial"/>
            <w:color w:val="16497B"/>
          </w:rPr>
          <w:t>3. pielikumu</w:t>
        </w:r>
      </w:hyperlink>
      <w:r w:rsidRPr="001C5FE1">
        <w:rPr>
          <w:rFonts w:ascii="Arial" w:eastAsia="Times New Roman" w:hAnsi="Arial" w:cs="Arial"/>
          <w:color w:val="414142"/>
        </w:rPr>
        <w:t> par dotācijas izlietojumu ministriju, centrālo valsts iestāžu un pašvaldību budžeta pārskatu informācijas sistēmā atbilstoši normatīvajos aktos budžeta izdevumu klasifikācijas jomā noteiktajai atlīdzības klasifikācijai. Latvijas Nacionālais kultūras centrs pārbauda un apstiprina ministriju, centrālo valsts iestāžu un pašvaldību budžeta pārskatu informācijas sistēmā iesniegto izglītības iestādes dibinātāja pārskatu par dotācijas izlietojumu.</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57"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47" w:name="p19"/>
      <w:bookmarkStart w:id="48" w:name="p-493543"/>
      <w:bookmarkEnd w:id="47"/>
      <w:bookmarkEnd w:id="48"/>
      <w:r w:rsidRPr="001C5FE1">
        <w:rPr>
          <w:rFonts w:ascii="Arial" w:eastAsia="Times New Roman" w:hAnsi="Arial" w:cs="Arial"/>
          <w:color w:val="414142"/>
        </w:rPr>
        <w:t xml:space="preserve">19. Latvijas Nacionālais kultūras centrs </w:t>
      </w:r>
      <w:proofErr w:type="gramStart"/>
      <w:r w:rsidRPr="001C5FE1">
        <w:rPr>
          <w:rFonts w:ascii="Arial" w:eastAsia="Times New Roman" w:hAnsi="Arial" w:cs="Arial"/>
          <w:color w:val="414142"/>
        </w:rPr>
        <w:t>ir tiesīga</w:t>
      </w:r>
      <w:proofErr w:type="gramEnd"/>
      <w:r w:rsidRPr="001C5FE1">
        <w:rPr>
          <w:rFonts w:ascii="Arial" w:eastAsia="Times New Roman" w:hAnsi="Arial" w:cs="Arial"/>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19.1. grozīt izglītības iestādei noteikto dotācijas apmēru, ja valsts budžetā kārtējam gadam tiek grozīts šim mērķim paredzēto līdzekļu apmērs;</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19.2. pārtraukt dotācijas izmaksu un vienpusēji izbeigt noslēgto finansēšanas līgumu, ja:</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19.2.1. ir beidzies izglītības iestādes akreditācijas termiņš;</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19.2.2. ir anulēta izglītības iestādes attiecīgās izglītības programmas īstenošanai izsniegtā licence vai beidzies tās derīguma termiņš;</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19.2.3. izglītības iestāde vai tās dibinātājs nepilda finansēšanas līgumā noteiktās saistības vai nepilda tās pienācīgā kārtā;</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19.3. pieprasīt pārskaitītās dotācijas atmaksu, ja dotācija ir izlietota neatbilstoši mērķim.</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58"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noteikumiem Nr.1233; grozījumi punktā stājas spēkā </w:t>
      </w:r>
      <w:hyperlink r:id="rId59"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60"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61"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49" w:name="p20"/>
      <w:bookmarkStart w:id="50" w:name="p-493544"/>
      <w:bookmarkEnd w:id="49"/>
      <w:bookmarkEnd w:id="50"/>
      <w:r w:rsidRPr="001C5FE1">
        <w:rPr>
          <w:rFonts w:ascii="Arial" w:eastAsia="Times New Roman" w:hAnsi="Arial" w:cs="Arial"/>
          <w:color w:val="414142"/>
        </w:rPr>
        <w:t>20. Ja dotācijas izmaksa tiek pārtraukta vai veikta pārskaitītās dotācijas atmaksa, Latvijas Nacionālais kultūras centrs var lemt par neizlietotās dotācijas piešķiršanu citai izglītības iestādei.</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62"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noteikumiem Nr.1233; grozījumi punktā stājas spēkā </w:t>
      </w:r>
      <w:hyperlink r:id="rId63" w:tgtFrame="_blank" w:history="1">
        <w:r w:rsidRPr="001C5FE1">
          <w:rPr>
            <w:rFonts w:ascii="Arial" w:eastAsia="Times New Roman" w:hAnsi="Arial" w:cs="Arial"/>
            <w:i/>
            <w:iCs/>
            <w:color w:val="0000FF"/>
          </w:rPr>
          <w:t>01.01.2014.</w:t>
        </w:r>
      </w:hyperlink>
      <w:r w:rsidRPr="001C5FE1">
        <w:rPr>
          <w:rFonts w:ascii="Arial" w:eastAsia="Times New Roman" w:hAnsi="Arial" w:cs="Arial"/>
          <w:i/>
          <w:iCs/>
          <w:color w:val="414142"/>
        </w:rPr>
        <w:t>, sk. </w:t>
      </w:r>
      <w:hyperlink r:id="rId64" w:tgtFrame="_blank" w:history="1">
        <w:r w:rsidRPr="001C5FE1">
          <w:rPr>
            <w:rFonts w:ascii="Arial" w:eastAsia="Times New Roman" w:hAnsi="Arial" w:cs="Arial"/>
            <w:i/>
            <w:iCs/>
            <w:color w:val="0000FF"/>
          </w:rPr>
          <w:t>grozījumu</w:t>
        </w:r>
      </w:hyperlink>
      <w:r w:rsidRPr="001C5FE1">
        <w:rPr>
          <w:rFonts w:ascii="Arial" w:eastAsia="Times New Roman" w:hAnsi="Arial" w:cs="Arial"/>
          <w:i/>
          <w:iCs/>
          <w:color w:val="414142"/>
        </w:rPr>
        <w:t> </w:t>
      </w:r>
      <w:hyperlink r:id="rId65" w:anchor="p2" w:tgtFrame="_blank" w:history="1">
        <w:r w:rsidRPr="001C5FE1">
          <w:rPr>
            <w:rFonts w:ascii="Arial" w:eastAsia="Times New Roman" w:hAnsi="Arial" w:cs="Arial"/>
            <w:i/>
            <w:iCs/>
            <w:color w:val="0000FF"/>
          </w:rPr>
          <w:t>2.punktu</w:t>
        </w:r>
      </w:hyperlink>
      <w:r w:rsidRPr="001C5FE1">
        <w:rPr>
          <w:rFonts w:ascii="Arial" w:eastAsia="Times New Roman" w:hAnsi="Arial" w:cs="Arial"/>
          <w:i/>
          <w:iCs/>
          <w:color w:val="414142"/>
        </w:rPr>
        <w:t>)</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51" w:name="p21"/>
      <w:bookmarkStart w:id="52" w:name="p-418482"/>
      <w:bookmarkEnd w:id="51"/>
      <w:bookmarkEnd w:id="52"/>
      <w:r w:rsidRPr="001C5FE1">
        <w:rPr>
          <w:rFonts w:ascii="Arial" w:eastAsia="Times New Roman" w:hAnsi="Arial" w:cs="Arial"/>
          <w:color w:val="414142"/>
        </w:rPr>
        <w:t>21. Izglītības iestādes (izņemot pašvaldību dibinātās izglītības iestādes, kas pieteikumus dotācijas saņemšanai iesniegušas saskaņā ar Ministru kabineta 2002.gada 13.augusta noteikumiem Nr.363 "Kārtība, kādā valsts finansē profesionālās ievirzes izglītības programmas, kuras īsteno pašvaldību izglītības iestādes") pieteikumu dotācijas saņemšanai 2012.gadā iesniedz nedēļas laikā pēc šo noteikumu spēkā stāšanās, norādot izglītojamo skaitu 2012.gada 1.janvārī.</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53" w:name="p22"/>
      <w:bookmarkStart w:id="54" w:name="p-418483"/>
      <w:bookmarkEnd w:id="53"/>
      <w:bookmarkEnd w:id="54"/>
      <w:r w:rsidRPr="001C5FE1">
        <w:rPr>
          <w:rFonts w:ascii="Arial" w:eastAsia="Times New Roman" w:hAnsi="Arial" w:cs="Arial"/>
          <w:color w:val="414142"/>
        </w:rPr>
        <w:t>22. Ministrija dotācijas apmēru 2012.gadam katrai izglītības iestādei aprēķina triju nedēļu laikā pēc šo noteikumu spēkā stāšanās.</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55" w:name="p23"/>
      <w:bookmarkStart w:id="56" w:name="p-418485"/>
      <w:bookmarkEnd w:id="55"/>
      <w:bookmarkEnd w:id="56"/>
      <w:r w:rsidRPr="001C5FE1">
        <w:rPr>
          <w:rFonts w:ascii="Arial" w:eastAsia="Times New Roman" w:hAnsi="Arial" w:cs="Arial"/>
          <w:color w:val="414142"/>
        </w:rPr>
        <w:t>23. Izglītības programmā pedagogam vidējo apmaksājamo pedagoģisko likmju skaits mēnesī uz vienu izglītojamo (P) 2012.gadā ir:</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23.1. profesionālās ievirzes mūzikas programmās, kurās izglītojamais uzsāk mācības paralēli vispārējās pamatizglītības 1.−6.klasei (kods 10V), un profesionālās ievirzes mūzikas programmās, kurās izglītojamais uzsāk mācības paralēli vispārējās pamatizglītības 1.−9.klasei (kods 20V), – 0,127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lastRenderedPageBreak/>
        <w:t>23.2. profesionālās ievirzes mūzikas programmās, kurās izglītojamais uzsāk mācības paralēli vispārējās vidējās izglītības ieguvei (kods 30V), – 0,156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23.3. profesionālās ievirzes mākslas programmās, kurās izglītojamais uzsāk mācības paralēli vispārējās pamatizglītības 1.−9.klasei (kods 20V), – 0,060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23.4. profesionālās ievirzes mākslas programmās, kurās izglītojamais uzsāk mācības paralēli vispārējās vidējās izglītības ieguvei (kods 30V), – 0,046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23.5. profesionālās ievirzes dejas programmās, kurās izglītojamais uzsāk mācības paralēli vispārējās pamatizglītības 1.−9.klasei (kods 20V), – 0,05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57" w:name="p24"/>
      <w:bookmarkStart w:id="58" w:name="p-418486"/>
      <w:bookmarkEnd w:id="57"/>
      <w:bookmarkEnd w:id="58"/>
      <w:r w:rsidRPr="001C5FE1">
        <w:rPr>
          <w:rFonts w:ascii="Arial" w:eastAsia="Times New Roman" w:hAnsi="Arial" w:cs="Arial"/>
          <w:color w:val="414142"/>
        </w:rPr>
        <w:t>24. Izglītības programmā pedagogam vidējo apmaksājamo pedagoģisko likmju skaits mēnesī uz vienu izglītojamo (P) 2013.gadā ir:</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24.1. profesionālās ievirzes mūzikas programmās, kurās izglītojamais uzsāk mācības paralēli vispārējās pamatizglītības 1.−6.klasei (kods 10V), un profesionālās ievirzes mūzikas programmās, kurās izglītojamais uzsāk mācības paralēli vispārējās pamatizglītības 1.−9.klasei (kods 20V), – 0,120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24.2. profesionālās ievirzes mūzikas programmās, kurās izglītojamais uzsāk mācības paralēli vispārējās vidējās izglītības ieguvei (kods 30V), – 0,156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24.3. profesionālās ievirzes mākslas programmās, kurās izglītojamais uzsāk mācības paralēli vispārējās pamatizglītības 1.−9.klasei (kods 20V), – 0,046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24.4. profesionālās ievirzes mākslas programmās, kurās izglītojamais uzsāk mācības paralēli vispārējās vidējās izglītības ieguvei (kods 30V), – 0,046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24.5. profesionālās ievirzes dejas programmās, kurās izglītojamais uzsāk mācības paralēli vispārējās pamatizglītības 1.−9.klasei (kods 20V), – 0,038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r w:rsidRPr="001C5FE1">
        <w:rPr>
          <w:rFonts w:ascii="Arial" w:eastAsia="Times New Roman" w:hAnsi="Arial" w:cs="Arial"/>
          <w:color w:val="414142"/>
        </w:rPr>
        <w:t>24.6. profesionālās ievirzes dejas programmās, kurās izglītojamais uzsāk mācības paralēli vispārējās vidējās izglītības ieguvei (kods 30V), – 0,032 pedagoģiskās likmes vienam izglītojamam.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59" w:name="p25"/>
      <w:bookmarkStart w:id="60" w:name="p-418487"/>
      <w:bookmarkEnd w:id="59"/>
      <w:bookmarkEnd w:id="60"/>
      <w:r w:rsidRPr="001C5FE1">
        <w:rPr>
          <w:rFonts w:ascii="Arial" w:eastAsia="Times New Roman" w:hAnsi="Arial" w:cs="Arial"/>
          <w:color w:val="414142"/>
        </w:rPr>
        <w:t>25. 2012.gadā, nosakot kopējo izglītības programmu finansēšanai paredzēto dotācijas apmēru, kas sadalāms starp izglītības programmu īstenotājiem atbilstoši šo noteikumu</w:t>
      </w:r>
      <w:hyperlink r:id="rId66" w:anchor="p8" w:tgtFrame="_blank" w:history="1">
        <w:r w:rsidRPr="001C5FE1">
          <w:rPr>
            <w:rFonts w:ascii="Arial" w:eastAsia="Times New Roman" w:hAnsi="Arial" w:cs="Arial"/>
            <w:color w:val="16497B"/>
          </w:rPr>
          <w:t>8.punktam</w:t>
        </w:r>
      </w:hyperlink>
      <w:r w:rsidRPr="001C5FE1">
        <w:rPr>
          <w:rFonts w:ascii="Arial" w:eastAsia="Times New Roman" w:hAnsi="Arial" w:cs="Arial"/>
          <w:color w:val="414142"/>
        </w:rPr>
        <w:t>, tiek paredzēts, ka ne vairāk kā 1 % no kopējā valsts budžetā šim mērķim paredzēto līdzekļu apjoma tiek novirzīti, lai kompensētu dotācijas apjoma samazināšanos izglītības iestādēm, kuras ir vienīgās profesionālās ievirzes izglītības iestādes savā novadā un kurām dotācijas apmēra samazinājums, salīdzinot ar 2011.gadu, ir lielāks par 10 %.</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61" w:name="p26"/>
      <w:bookmarkStart w:id="62" w:name="p-524880"/>
      <w:bookmarkEnd w:id="61"/>
      <w:bookmarkEnd w:id="62"/>
      <w:r w:rsidRPr="001C5FE1">
        <w:rPr>
          <w:rFonts w:ascii="Arial" w:eastAsia="Times New Roman" w:hAnsi="Arial" w:cs="Arial"/>
          <w:color w:val="414142"/>
        </w:rPr>
        <w:t>26. Šo noteikumu </w:t>
      </w:r>
      <w:hyperlink r:id="rId67" w:anchor="p25" w:tgtFrame="_blank" w:history="1">
        <w:r w:rsidRPr="001C5FE1">
          <w:rPr>
            <w:rFonts w:ascii="Arial" w:eastAsia="Times New Roman" w:hAnsi="Arial" w:cs="Arial"/>
            <w:color w:val="16497B"/>
          </w:rPr>
          <w:t>25.punktā</w:t>
        </w:r>
      </w:hyperlink>
      <w:r w:rsidRPr="001C5FE1">
        <w:rPr>
          <w:rFonts w:ascii="Arial" w:eastAsia="Times New Roman" w:hAnsi="Arial" w:cs="Arial"/>
          <w:color w:val="414142"/>
        </w:rPr>
        <w:t> minētie līdzekļi tiek sadalīti starp izglītības iestādēm, kuras atbilst šo noteikumu </w:t>
      </w:r>
      <w:hyperlink r:id="rId68" w:anchor="p25" w:tgtFrame="_blank" w:history="1">
        <w:r w:rsidRPr="001C5FE1">
          <w:rPr>
            <w:rFonts w:ascii="Arial" w:eastAsia="Times New Roman" w:hAnsi="Arial" w:cs="Arial"/>
            <w:color w:val="16497B"/>
          </w:rPr>
          <w:t>25.punktā</w:t>
        </w:r>
      </w:hyperlink>
      <w:r w:rsidRPr="001C5FE1">
        <w:rPr>
          <w:rFonts w:ascii="Arial" w:eastAsia="Times New Roman" w:hAnsi="Arial" w:cs="Arial"/>
          <w:color w:val="414142"/>
        </w:rPr>
        <w:t> minētajiem kritērijiem, proporcionāli izglītojamo skaitam šajās izglītības iestādēs, un tos izmanto tikai šo noteikumu </w:t>
      </w:r>
      <w:hyperlink r:id="rId69" w:anchor="p4" w:tgtFrame="_blank" w:history="1">
        <w:r w:rsidRPr="001C5FE1">
          <w:rPr>
            <w:rFonts w:ascii="Arial" w:eastAsia="Times New Roman" w:hAnsi="Arial" w:cs="Arial"/>
            <w:color w:val="16497B"/>
          </w:rPr>
          <w:t>4.punktā</w:t>
        </w:r>
      </w:hyperlink>
      <w:r w:rsidRPr="001C5FE1">
        <w:rPr>
          <w:rFonts w:ascii="Arial" w:eastAsia="Times New Roman" w:hAnsi="Arial" w:cs="Arial"/>
          <w:color w:val="414142"/>
        </w:rPr>
        <w:t> minētajiem mērķiem.</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(Grozīts ar MK </w:t>
      </w:r>
      <w:hyperlink r:id="rId70"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noteikumiem Nr.510)</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63" w:name="p27"/>
      <w:bookmarkStart w:id="64" w:name="p-418490"/>
      <w:bookmarkEnd w:id="63"/>
      <w:bookmarkEnd w:id="64"/>
      <w:r w:rsidRPr="001C5FE1">
        <w:rPr>
          <w:rFonts w:ascii="Arial" w:eastAsia="Times New Roman" w:hAnsi="Arial" w:cs="Arial"/>
          <w:color w:val="414142"/>
        </w:rPr>
        <w:t>27. Šo noteikumu </w:t>
      </w:r>
      <w:hyperlink r:id="rId71" w:anchor="p13" w:tgtFrame="_blank" w:history="1">
        <w:r w:rsidRPr="001C5FE1">
          <w:rPr>
            <w:rFonts w:ascii="Arial" w:eastAsia="Times New Roman" w:hAnsi="Arial" w:cs="Arial"/>
            <w:color w:val="16497B"/>
          </w:rPr>
          <w:t>13.punkts</w:t>
        </w:r>
      </w:hyperlink>
      <w:r w:rsidRPr="001C5FE1">
        <w:rPr>
          <w:rFonts w:ascii="Arial" w:eastAsia="Times New Roman" w:hAnsi="Arial" w:cs="Arial"/>
          <w:color w:val="414142"/>
        </w:rPr>
        <w:t> stājas spēkā 2014.gada 1.janvārī.</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65" w:name="p27.1"/>
      <w:bookmarkStart w:id="66" w:name="p-524881"/>
      <w:bookmarkEnd w:id="65"/>
      <w:bookmarkEnd w:id="66"/>
      <w:r w:rsidRPr="001C5FE1">
        <w:rPr>
          <w:rFonts w:ascii="Arial" w:eastAsia="Times New Roman" w:hAnsi="Arial" w:cs="Arial"/>
          <w:color w:val="414142"/>
        </w:rPr>
        <w:t>27.</w:t>
      </w:r>
      <w:r w:rsidRPr="001C5FE1">
        <w:rPr>
          <w:rFonts w:ascii="Arial" w:eastAsia="Times New Roman" w:hAnsi="Arial" w:cs="Arial"/>
          <w:color w:val="414142"/>
          <w:vertAlign w:val="superscript"/>
        </w:rPr>
        <w:t>1</w:t>
      </w:r>
      <w:r w:rsidRPr="001C5FE1">
        <w:rPr>
          <w:rFonts w:ascii="Arial" w:eastAsia="Times New Roman" w:hAnsi="Arial" w:cs="Arial"/>
          <w:color w:val="414142"/>
        </w:rPr>
        <w:t> Dotācijas apmēru pedagogu darba samaksas noteikumos noteiktajām pedagoga profesionālās darbības kvalitātes piemaksām atbilstoši šo noteikumu </w:t>
      </w:r>
      <w:hyperlink r:id="rId72" w:anchor="p12.1" w:tgtFrame="_blank" w:history="1">
        <w:r w:rsidRPr="001C5FE1">
          <w:rPr>
            <w:rFonts w:ascii="Arial" w:eastAsia="Times New Roman" w:hAnsi="Arial" w:cs="Arial"/>
            <w:color w:val="16497B"/>
          </w:rPr>
          <w:t>12.</w:t>
        </w:r>
        <w:r w:rsidRPr="001C5FE1">
          <w:rPr>
            <w:rFonts w:ascii="Arial" w:eastAsia="Times New Roman" w:hAnsi="Arial" w:cs="Arial"/>
            <w:color w:val="16497B"/>
            <w:vertAlign w:val="superscript"/>
          </w:rPr>
          <w:t>1</w:t>
        </w:r>
        <w:r w:rsidRPr="001C5FE1">
          <w:rPr>
            <w:rFonts w:ascii="Arial" w:eastAsia="Times New Roman" w:hAnsi="Arial" w:cs="Arial"/>
            <w:color w:val="16497B"/>
          </w:rPr>
          <w:t> </w:t>
        </w:r>
        <w:proofErr w:type="spellStart"/>
        <w:r w:rsidRPr="001C5FE1">
          <w:rPr>
            <w:rFonts w:ascii="Arial" w:eastAsia="Times New Roman" w:hAnsi="Arial" w:cs="Arial"/>
            <w:color w:val="16497B"/>
          </w:rPr>
          <w:t>punktam</w:t>
        </w:r>
      </w:hyperlink>
      <w:r w:rsidRPr="001C5FE1">
        <w:rPr>
          <w:rFonts w:ascii="Arial" w:eastAsia="Times New Roman" w:hAnsi="Arial" w:cs="Arial"/>
          <w:color w:val="414142"/>
        </w:rPr>
        <w:t>laikposmam</w:t>
      </w:r>
      <w:proofErr w:type="spellEnd"/>
      <w:r w:rsidRPr="001C5FE1">
        <w:rPr>
          <w:rFonts w:ascii="Arial" w:eastAsia="Times New Roman" w:hAnsi="Arial" w:cs="Arial"/>
          <w:color w:val="414142"/>
        </w:rPr>
        <w:t xml:space="preserve"> no 2013.gada 1.septembra līdz 31.decembrim un no 2014. gada 1. janvāra līdz 31. augustam attiecīgajai izglītības iestādei aprēķina, pamatojoties uz Latvijas Nacionālā kultūras centra apkopoto informāciju uz 2013.gada 2.septembri par pedagoģisko likmju skaitu, kas tarificētas no valsts budžeta finansējuma attiecīgās izglītības iestādes pedagogiem, kuri Eiropas Sociālā fonda projekta "Pedagogu konkurētspējas veicināšana izglītības sistēmas optimizācijas apstākļos" ietvaros </w:t>
      </w:r>
      <w:proofErr w:type="gramStart"/>
      <w:r w:rsidRPr="001C5FE1">
        <w:rPr>
          <w:rFonts w:ascii="Arial" w:eastAsia="Times New Roman" w:hAnsi="Arial" w:cs="Arial"/>
          <w:color w:val="414142"/>
        </w:rPr>
        <w:t>ir ieguvuši</w:t>
      </w:r>
      <w:proofErr w:type="gramEnd"/>
      <w:r w:rsidRPr="001C5FE1">
        <w:rPr>
          <w:rFonts w:ascii="Arial" w:eastAsia="Times New Roman" w:hAnsi="Arial" w:cs="Arial"/>
          <w:color w:val="414142"/>
        </w:rPr>
        <w:t xml:space="preserve"> 3., 4. un 5.kvalitātes pakāpi.</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73"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noteikumu Nr.1233 redakcijā, kas grozīta ar MK </w:t>
      </w:r>
      <w:hyperlink r:id="rId74"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noteikumiem Nr.510)</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67" w:name="p27.2"/>
      <w:bookmarkStart w:id="68" w:name="p-524882"/>
      <w:bookmarkEnd w:id="67"/>
      <w:bookmarkEnd w:id="68"/>
      <w:r w:rsidRPr="001C5FE1">
        <w:rPr>
          <w:rFonts w:ascii="Arial" w:eastAsia="Times New Roman" w:hAnsi="Arial" w:cs="Arial"/>
          <w:color w:val="414142"/>
        </w:rPr>
        <w:t>27.</w:t>
      </w:r>
      <w:r w:rsidRPr="001C5FE1">
        <w:rPr>
          <w:rFonts w:ascii="Arial" w:eastAsia="Times New Roman" w:hAnsi="Arial" w:cs="Arial"/>
          <w:color w:val="414142"/>
          <w:vertAlign w:val="superscript"/>
        </w:rPr>
        <w:t>2</w:t>
      </w:r>
      <w:r w:rsidRPr="001C5FE1">
        <w:rPr>
          <w:rFonts w:ascii="Arial" w:eastAsia="Times New Roman" w:hAnsi="Arial" w:cs="Arial"/>
          <w:color w:val="414142"/>
        </w:rPr>
        <w:t xml:space="preserve"> Lai nodrošinātu datu apkopošanu par pedagoģisko likmju skaitu, kas tarificētas no valsts budžeta finansējuma attiecīgās izglītības iestādes pedagogiem, kuri Eiropas Sociālā fonda projekta "Pedagogu konkurētspējas veicināšana izglītības sistēmas optimizācijas apstākļos" ietvaros </w:t>
      </w:r>
      <w:proofErr w:type="gramStart"/>
      <w:r w:rsidRPr="001C5FE1">
        <w:rPr>
          <w:rFonts w:ascii="Arial" w:eastAsia="Times New Roman" w:hAnsi="Arial" w:cs="Arial"/>
          <w:color w:val="414142"/>
        </w:rPr>
        <w:t>ir ieguvuši</w:t>
      </w:r>
      <w:proofErr w:type="gramEnd"/>
      <w:r w:rsidRPr="001C5FE1">
        <w:rPr>
          <w:rFonts w:ascii="Arial" w:eastAsia="Times New Roman" w:hAnsi="Arial" w:cs="Arial"/>
          <w:color w:val="414142"/>
        </w:rPr>
        <w:t xml:space="preserve"> 3., 4. un 5.kvalitātes pakāpi laikposmam no 2013.gada 1.septembra līdz 31.decembrim un no 2014. gada 1. janvāra līdz 31. augustam, izglītības iestāde līdz 2013.gada 25.novembrim iesniedz Latvijas Nacionālajā kultūras centrā izglītības iestādes dibinātāja apstiprinātu tarifikāciju.</w:t>
      </w:r>
    </w:p>
    <w:p w:rsidR="001C5FE1" w:rsidRP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75" w:tgtFrame="_blank" w:history="1">
        <w:r w:rsidRPr="001C5FE1">
          <w:rPr>
            <w:rFonts w:ascii="Arial" w:eastAsia="Times New Roman" w:hAnsi="Arial" w:cs="Arial"/>
            <w:i/>
            <w:iCs/>
            <w:color w:val="0000FF"/>
          </w:rPr>
          <w:t>29.10.2013.</w:t>
        </w:r>
      </w:hyperlink>
      <w:r w:rsidRPr="001C5FE1">
        <w:rPr>
          <w:rFonts w:ascii="Arial" w:eastAsia="Times New Roman" w:hAnsi="Arial" w:cs="Arial"/>
          <w:i/>
          <w:iCs/>
          <w:color w:val="414142"/>
        </w:rPr>
        <w:t> noteikumu Nr.1233 redakcijā, kas grozīta ar MK </w:t>
      </w:r>
      <w:hyperlink r:id="rId76"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noteikumiem Nr.510)</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69" w:name="p27.3"/>
      <w:bookmarkStart w:id="70" w:name="p-524883"/>
      <w:bookmarkEnd w:id="69"/>
      <w:bookmarkEnd w:id="70"/>
      <w:r w:rsidRPr="001C5FE1">
        <w:rPr>
          <w:rFonts w:ascii="Arial" w:eastAsia="Times New Roman" w:hAnsi="Arial" w:cs="Arial"/>
          <w:color w:val="414142"/>
        </w:rPr>
        <w:t>27.</w:t>
      </w:r>
      <w:r w:rsidRPr="001C5FE1">
        <w:rPr>
          <w:rFonts w:ascii="Arial" w:eastAsia="Times New Roman" w:hAnsi="Arial" w:cs="Arial"/>
          <w:color w:val="414142"/>
          <w:vertAlign w:val="superscript"/>
        </w:rPr>
        <w:t>3 </w:t>
      </w:r>
      <w:r w:rsidRPr="001C5FE1">
        <w:rPr>
          <w:rFonts w:ascii="Arial" w:eastAsia="Times New Roman" w:hAnsi="Arial" w:cs="Arial"/>
          <w:color w:val="414142"/>
        </w:rPr>
        <w:t xml:space="preserve">Dotācijas apmēru pedagogu profesionālās darbības kvalitātes piemaksām laikposmā no 2014. gada 1. septembra līdz 31. decembrim un no 2015. gada 1. janvāra līdz 31. decembrim attiecīgajai izglītības iestādei Latvijas Nacionālais kultūras centrs aprēķina, pamatojoties uz izglītības iestādes elektroniskā veidā iesūtīto informāciju par </w:t>
      </w:r>
      <w:r w:rsidRPr="001C5FE1">
        <w:rPr>
          <w:rFonts w:ascii="Arial" w:eastAsia="Times New Roman" w:hAnsi="Arial" w:cs="Arial"/>
          <w:color w:val="414142"/>
        </w:rPr>
        <w:lastRenderedPageBreak/>
        <w:t>pedagogu skaitu, kuri ieguvuši 3., 4. un 5. kvalitātes pakāpi, un šiem pedagogiem no valsts budžeta finansējuma tarificēto pedagoģisko likmju skaitu līdz 2014. gada 27. maijam.</w:t>
      </w:r>
    </w:p>
    <w:p w:rsidR="001C5FE1" w:rsidRDefault="001C5FE1" w:rsidP="001C5FE1">
      <w:pPr>
        <w:shd w:val="clear" w:color="auto" w:fill="FFFFFF"/>
        <w:spacing w:before="45" w:line="248" w:lineRule="atLeast"/>
        <w:ind w:left="-993" w:firstLine="300"/>
        <w:jc w:val="both"/>
        <w:rPr>
          <w:rFonts w:ascii="Arial" w:eastAsia="Times New Roman" w:hAnsi="Arial" w:cs="Arial"/>
          <w:i/>
          <w:iCs/>
          <w:color w:val="414142"/>
        </w:rPr>
      </w:pPr>
      <w:r w:rsidRPr="001C5FE1">
        <w:rPr>
          <w:rFonts w:ascii="Arial" w:eastAsia="Times New Roman" w:hAnsi="Arial" w:cs="Arial"/>
          <w:i/>
          <w:iCs/>
          <w:color w:val="414142"/>
        </w:rPr>
        <w:t>(MK </w:t>
      </w:r>
      <w:hyperlink r:id="rId77"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p w:rsidR="003F0536" w:rsidRPr="001C5FE1" w:rsidRDefault="003F0536" w:rsidP="001C5FE1">
      <w:pPr>
        <w:shd w:val="clear" w:color="auto" w:fill="FFFFFF"/>
        <w:spacing w:before="45" w:line="248" w:lineRule="atLeast"/>
        <w:ind w:left="-993" w:firstLine="300"/>
        <w:jc w:val="both"/>
        <w:rPr>
          <w:rFonts w:ascii="Arial" w:eastAsia="Times New Roman" w:hAnsi="Arial" w:cs="Arial"/>
          <w:i/>
          <w:iCs/>
          <w:color w:val="FF0000"/>
        </w:rPr>
      </w:pPr>
      <w:r w:rsidRPr="00FD61BB">
        <w:rPr>
          <w:rFonts w:ascii="Arial" w:eastAsia="Times New Roman" w:hAnsi="Arial" w:cs="Arial"/>
          <w:color w:val="FF0000"/>
        </w:rPr>
        <w:t>27.</w:t>
      </w:r>
      <w:r w:rsidRPr="00FD61BB">
        <w:rPr>
          <w:rFonts w:ascii="Arial" w:eastAsia="Times New Roman" w:hAnsi="Arial" w:cs="Arial"/>
          <w:color w:val="FF0000"/>
          <w:vertAlign w:val="superscript"/>
        </w:rPr>
        <w:t>4</w:t>
      </w:r>
      <w:r w:rsidRPr="00FD61BB">
        <w:rPr>
          <w:rFonts w:ascii="Arial" w:eastAsia="Times New Roman" w:hAnsi="Arial" w:cs="Arial"/>
          <w:color w:val="FF0000"/>
        </w:rPr>
        <w:t> No 2017. gada 1. janvāra dotācijas apmēru pedagogu profesionālās darbības kvalitātes piemaksām attiecīgajai izglītības iestādei Latvijas Nacionālais kultūras centrs aprēķina, pamatojoties uz izglītības iestādes elektroniskā veidā iesūtīto informāciju par pedagogu skaitu, kuri ieguvuši 3., 4. un 5. kvalitātes pakāpi, un šiem pedagogiem no valsts budžeta finansējuma tarificēto pedagoģisko likmju skaitu līdz iepriekšējā gada 27. maijam.</w:t>
      </w:r>
    </w:p>
    <w:p w:rsidR="001C5FE1" w:rsidRPr="001C5FE1" w:rsidRDefault="001C5FE1" w:rsidP="001C5FE1">
      <w:pPr>
        <w:shd w:val="clear" w:color="auto" w:fill="FFFFFF"/>
        <w:spacing w:line="293" w:lineRule="atLeast"/>
        <w:ind w:left="-993" w:firstLine="300"/>
        <w:jc w:val="both"/>
        <w:rPr>
          <w:rFonts w:ascii="Arial" w:eastAsia="Times New Roman" w:hAnsi="Arial" w:cs="Arial"/>
          <w:color w:val="414142"/>
        </w:rPr>
      </w:pPr>
      <w:bookmarkStart w:id="71" w:name="p28"/>
      <w:bookmarkStart w:id="72" w:name="p-418491"/>
      <w:bookmarkEnd w:id="71"/>
      <w:bookmarkEnd w:id="72"/>
      <w:r w:rsidRPr="001C5FE1">
        <w:rPr>
          <w:rFonts w:ascii="Arial" w:eastAsia="Times New Roman" w:hAnsi="Arial" w:cs="Arial"/>
          <w:color w:val="414142"/>
        </w:rPr>
        <w:t>28. Noteikumi stājas spēkā 2012.gada 1.janvārī.</w:t>
      </w:r>
    </w:p>
    <w:p w:rsidR="001C5FE1" w:rsidRPr="001C5FE1" w:rsidRDefault="001C5FE1" w:rsidP="001C5FE1">
      <w:pPr>
        <w:shd w:val="clear" w:color="auto" w:fill="FFFFFF"/>
        <w:ind w:left="-993"/>
        <w:jc w:val="right"/>
        <w:rPr>
          <w:rFonts w:ascii="Arial" w:eastAsia="Times New Roman" w:hAnsi="Arial" w:cs="Arial"/>
          <w:color w:val="414142"/>
        </w:rPr>
      </w:pPr>
      <w:r w:rsidRPr="001C5FE1">
        <w:rPr>
          <w:rFonts w:ascii="Arial" w:eastAsia="Times New Roman" w:hAnsi="Arial" w:cs="Arial"/>
          <w:color w:val="414142"/>
        </w:rPr>
        <w:t xml:space="preserve">Ministru prezidents </w:t>
      </w:r>
      <w:proofErr w:type="spellStart"/>
      <w:r w:rsidRPr="001C5FE1">
        <w:rPr>
          <w:rFonts w:ascii="Arial" w:eastAsia="Times New Roman" w:hAnsi="Arial" w:cs="Arial"/>
          <w:color w:val="414142"/>
        </w:rPr>
        <w:t>V.Dombrovskis</w:t>
      </w:r>
      <w:proofErr w:type="spellEnd"/>
      <w:r w:rsidRPr="001C5FE1">
        <w:rPr>
          <w:rFonts w:ascii="Arial" w:eastAsia="Times New Roman" w:hAnsi="Arial" w:cs="Arial"/>
          <w:color w:val="414142"/>
        </w:rPr>
        <w:t> </w:t>
      </w:r>
      <w:r w:rsidRPr="001C5FE1">
        <w:rPr>
          <w:rFonts w:ascii="Arial" w:eastAsia="Times New Roman" w:hAnsi="Arial" w:cs="Arial"/>
          <w:color w:val="414142"/>
        </w:rPr>
        <w:br/>
      </w:r>
      <w:r w:rsidRPr="001C5FE1">
        <w:rPr>
          <w:rFonts w:ascii="Arial" w:eastAsia="Times New Roman" w:hAnsi="Arial" w:cs="Arial"/>
          <w:color w:val="414142"/>
        </w:rPr>
        <w:br/>
        <w:t xml:space="preserve">Kultūras ministre </w:t>
      </w:r>
      <w:proofErr w:type="spellStart"/>
      <w:r w:rsidRPr="001C5FE1">
        <w:rPr>
          <w:rFonts w:ascii="Arial" w:eastAsia="Times New Roman" w:hAnsi="Arial" w:cs="Arial"/>
          <w:color w:val="414142"/>
        </w:rPr>
        <w:t>Ž.Jaunzeme-Grende</w:t>
      </w:r>
      <w:proofErr w:type="spellEnd"/>
    </w:p>
    <w:p w:rsidR="005D42FA" w:rsidRDefault="005D42FA" w:rsidP="001C5FE1">
      <w:pPr>
        <w:shd w:val="clear" w:color="auto" w:fill="FFFFFF"/>
        <w:ind w:left="-993"/>
        <w:jc w:val="right"/>
        <w:rPr>
          <w:rFonts w:ascii="Arial" w:eastAsia="Times New Roman" w:hAnsi="Arial" w:cs="Arial"/>
          <w:color w:val="414142"/>
        </w:rPr>
      </w:pPr>
      <w:bookmarkStart w:id="73" w:name="piel1"/>
      <w:bookmarkEnd w:id="73"/>
    </w:p>
    <w:p w:rsidR="00B73204" w:rsidRDefault="00B73204">
      <w:pPr>
        <w:rPr>
          <w:rFonts w:ascii="Arial" w:eastAsia="Times New Roman" w:hAnsi="Arial" w:cs="Arial"/>
          <w:color w:val="414142"/>
        </w:rPr>
      </w:pPr>
      <w:r>
        <w:rPr>
          <w:rFonts w:ascii="Arial" w:eastAsia="Times New Roman" w:hAnsi="Arial" w:cs="Arial"/>
          <w:color w:val="414142"/>
        </w:rPr>
        <w:br w:type="page"/>
      </w:r>
    </w:p>
    <w:p w:rsidR="005D42FA" w:rsidRDefault="005D42FA" w:rsidP="001C5FE1">
      <w:pPr>
        <w:shd w:val="clear" w:color="auto" w:fill="FFFFFF"/>
        <w:ind w:left="-993"/>
        <w:jc w:val="right"/>
        <w:rPr>
          <w:rFonts w:ascii="Arial" w:eastAsia="Times New Roman" w:hAnsi="Arial" w:cs="Arial"/>
          <w:color w:val="414142"/>
        </w:rPr>
      </w:pPr>
    </w:p>
    <w:p w:rsidR="001C5FE1" w:rsidRPr="001C5FE1" w:rsidRDefault="001C5FE1" w:rsidP="001C5FE1">
      <w:pPr>
        <w:shd w:val="clear" w:color="auto" w:fill="FFFFFF"/>
        <w:ind w:left="-993"/>
        <w:jc w:val="right"/>
        <w:rPr>
          <w:rFonts w:ascii="Arial" w:eastAsia="Times New Roman" w:hAnsi="Arial" w:cs="Arial"/>
          <w:color w:val="414142"/>
        </w:rPr>
      </w:pPr>
      <w:r w:rsidRPr="001C5FE1">
        <w:rPr>
          <w:rFonts w:ascii="Arial" w:eastAsia="Times New Roman" w:hAnsi="Arial" w:cs="Arial"/>
          <w:color w:val="414142"/>
        </w:rPr>
        <w:t>1.pielikums </w:t>
      </w:r>
      <w:r w:rsidRPr="001C5FE1">
        <w:rPr>
          <w:rFonts w:ascii="Arial" w:eastAsia="Times New Roman" w:hAnsi="Arial" w:cs="Arial"/>
          <w:color w:val="414142"/>
        </w:rPr>
        <w:br/>
        <w:t>Ministru kabineta </w:t>
      </w:r>
      <w:r w:rsidRPr="001C5FE1">
        <w:rPr>
          <w:rFonts w:ascii="Arial" w:eastAsia="Times New Roman" w:hAnsi="Arial" w:cs="Arial"/>
          <w:color w:val="414142"/>
        </w:rPr>
        <w:br/>
        <w:t>2011.gada 27.decembra noteikumiem Nr.1035</w:t>
      </w:r>
    </w:p>
    <w:p w:rsidR="001C5FE1" w:rsidRPr="001C5FE1" w:rsidRDefault="001C5FE1" w:rsidP="001C5FE1">
      <w:pPr>
        <w:shd w:val="clear" w:color="auto" w:fill="FFFFFF"/>
        <w:ind w:left="-993"/>
        <w:jc w:val="center"/>
        <w:rPr>
          <w:rFonts w:ascii="Arial" w:eastAsia="Times New Roman" w:hAnsi="Arial" w:cs="Arial"/>
          <w:b/>
          <w:bCs/>
          <w:color w:val="414142"/>
          <w:sz w:val="27"/>
          <w:szCs w:val="27"/>
        </w:rPr>
      </w:pPr>
      <w:bookmarkStart w:id="74" w:name="524884"/>
      <w:bookmarkEnd w:id="74"/>
      <w:r w:rsidRPr="001C5FE1">
        <w:rPr>
          <w:rFonts w:ascii="Arial" w:eastAsia="Times New Roman" w:hAnsi="Arial" w:cs="Arial"/>
          <w:b/>
          <w:bCs/>
          <w:color w:val="414142"/>
          <w:sz w:val="27"/>
          <w:szCs w:val="27"/>
        </w:rPr>
        <w:t>Valsts budžeta finansētās profesionālās ievirzes izglītības programmas</w:t>
      </w:r>
    </w:p>
    <w:p w:rsidR="001C5FE1" w:rsidRPr="001C5FE1" w:rsidRDefault="001C5FE1" w:rsidP="001C5FE1">
      <w:pPr>
        <w:shd w:val="clear" w:color="auto" w:fill="FFFFFF"/>
        <w:spacing w:before="45" w:line="248" w:lineRule="atLeast"/>
        <w:ind w:left="-993" w:firstLine="300"/>
        <w:jc w:val="center"/>
        <w:rPr>
          <w:rFonts w:ascii="Arial" w:eastAsia="Times New Roman" w:hAnsi="Arial" w:cs="Arial"/>
          <w:i/>
          <w:iCs/>
          <w:color w:val="414142"/>
        </w:rPr>
      </w:pPr>
      <w:r w:rsidRPr="001C5FE1">
        <w:rPr>
          <w:rFonts w:ascii="Arial" w:eastAsia="Times New Roman" w:hAnsi="Arial" w:cs="Arial"/>
          <w:i/>
          <w:iCs/>
          <w:color w:val="414142"/>
        </w:rPr>
        <w:t>(Pielikums MK </w:t>
      </w:r>
      <w:hyperlink r:id="rId78"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tbl>
      <w:tblPr>
        <w:tblW w:w="5357" w:type="pct"/>
        <w:tblInd w:w="-68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7"/>
        <w:gridCol w:w="3859"/>
        <w:gridCol w:w="1438"/>
        <w:gridCol w:w="4409"/>
      </w:tblGrid>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Nr.</w:t>
            </w:r>
            <w:r w:rsidRPr="001C5FE1">
              <w:rPr>
                <w:rFonts w:eastAsia="Times New Roman"/>
                <w:color w:val="414142"/>
              </w:rPr>
              <w:br/>
              <w:t>p.k.</w:t>
            </w:r>
          </w:p>
        </w:tc>
        <w:tc>
          <w:tcPr>
            <w:tcW w:w="1878"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Izglītības programmu grupa</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Izglītības programmas veida kods</w:t>
            </w:r>
          </w:p>
        </w:tc>
        <w:tc>
          <w:tcPr>
            <w:tcW w:w="2146"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Izglītības programmas veids</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1.</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Vizuāli plastiskā māksla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20V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vispārējās pamatizglītības programmai</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2.</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Vizuāli plastiskā māksla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30V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vispārējās vai profesionālās vidējās izglītības ieguvei</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3.</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Mūzika un skatuves māksla (mūzika)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10V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pamatizglītības pirmā posma programmai</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4.</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Mūzika un skatuves māksla (mūzika)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20V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vispārējās pamatizglītības programmai</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5.</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Mūzika un skatuves māksla (deja)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20V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vispārējās pamatizglītības programmai</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6.</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Mūzika un skatuves māksla (mūzika)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30V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vispārējās vai profesionālās vidējās izglītības ieguvei</w:t>
            </w:r>
          </w:p>
        </w:tc>
      </w:tr>
      <w:tr w:rsidR="001C5FE1" w:rsidRPr="001C5FE1" w:rsidTr="005D42FA">
        <w:tc>
          <w:tcPr>
            <w:tcW w:w="27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spacing w:before="100" w:beforeAutospacing="1" w:after="100" w:afterAutospacing="1" w:line="293" w:lineRule="atLeast"/>
              <w:ind w:left="-308"/>
              <w:jc w:val="center"/>
              <w:rPr>
                <w:rFonts w:eastAsia="Times New Roman"/>
                <w:color w:val="414142"/>
              </w:rPr>
            </w:pPr>
            <w:r w:rsidRPr="001C5FE1">
              <w:rPr>
                <w:rFonts w:eastAsia="Times New Roman"/>
                <w:color w:val="414142"/>
              </w:rPr>
              <w:t>7.</w:t>
            </w:r>
          </w:p>
        </w:tc>
        <w:tc>
          <w:tcPr>
            <w:tcW w:w="1878"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733"/>
              <w:jc w:val="center"/>
              <w:rPr>
                <w:rFonts w:eastAsia="Times New Roman"/>
                <w:color w:val="414142"/>
              </w:rPr>
            </w:pPr>
            <w:r w:rsidRPr="001C5FE1">
              <w:rPr>
                <w:rFonts w:eastAsia="Times New Roman"/>
                <w:color w:val="414142"/>
              </w:rPr>
              <w:t>Mūzika un skatuves māksla (deja)</w:t>
            </w:r>
          </w:p>
        </w:tc>
        <w:tc>
          <w:tcPr>
            <w:tcW w:w="7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30V</w:t>
            </w:r>
          </w:p>
        </w:tc>
        <w:tc>
          <w:tcPr>
            <w:tcW w:w="2146"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5D42FA">
            <w:pPr>
              <w:ind w:left="66"/>
              <w:rPr>
                <w:rFonts w:eastAsia="Times New Roman"/>
                <w:color w:val="414142"/>
              </w:rPr>
            </w:pPr>
            <w:r w:rsidRPr="001C5FE1">
              <w:rPr>
                <w:rFonts w:eastAsia="Times New Roman"/>
                <w:color w:val="414142"/>
              </w:rPr>
              <w:t>profesionālās ievirzes izglītība, īstenojama līdztekus vispārējās vai profesionālās vidējās izglītības ieguvei</w:t>
            </w:r>
          </w:p>
        </w:tc>
      </w:tr>
      <w:tr w:rsidR="005D42FA" w:rsidRPr="005D42FA" w:rsidTr="005D42FA">
        <w:tc>
          <w:tcPr>
            <w:tcW w:w="276" w:type="pct"/>
            <w:tcBorders>
              <w:top w:val="outset" w:sz="6" w:space="0" w:color="414142"/>
              <w:left w:val="outset" w:sz="6" w:space="0" w:color="414142"/>
              <w:bottom w:val="outset" w:sz="6" w:space="0" w:color="414142"/>
              <w:right w:val="outset" w:sz="6" w:space="0" w:color="414142"/>
            </w:tcBorders>
          </w:tcPr>
          <w:p w:rsidR="005D42FA" w:rsidRPr="005D42FA" w:rsidRDefault="005D42FA" w:rsidP="005D42FA">
            <w:pPr>
              <w:spacing w:before="100" w:beforeAutospacing="1" w:after="100" w:afterAutospacing="1" w:line="293" w:lineRule="atLeast"/>
              <w:ind w:left="-308"/>
              <w:jc w:val="center"/>
              <w:rPr>
                <w:rFonts w:eastAsia="Times New Roman"/>
                <w:color w:val="FF0000"/>
              </w:rPr>
            </w:pPr>
            <w:r w:rsidRPr="005D42FA">
              <w:rPr>
                <w:rFonts w:eastAsia="Times New Roman"/>
                <w:color w:val="FF0000"/>
              </w:rPr>
              <w:t>8.</w:t>
            </w:r>
          </w:p>
        </w:tc>
        <w:tc>
          <w:tcPr>
            <w:tcW w:w="1878" w:type="pct"/>
            <w:tcBorders>
              <w:top w:val="outset" w:sz="6" w:space="0" w:color="414142"/>
              <w:left w:val="outset" w:sz="6" w:space="0" w:color="414142"/>
              <w:bottom w:val="outset" w:sz="6" w:space="0" w:color="414142"/>
              <w:right w:val="outset" w:sz="6" w:space="0" w:color="414142"/>
            </w:tcBorders>
          </w:tcPr>
          <w:p w:rsidR="005D42FA" w:rsidRPr="00FD61BB" w:rsidRDefault="005D42FA" w:rsidP="00686555">
            <w:pPr>
              <w:rPr>
                <w:rFonts w:ascii="Arial" w:eastAsia="Times New Roman" w:hAnsi="Arial" w:cs="Arial"/>
                <w:color w:val="FF0000"/>
              </w:rPr>
            </w:pPr>
            <w:r w:rsidRPr="00FD61BB">
              <w:rPr>
                <w:rFonts w:ascii="Arial" w:eastAsia="Times New Roman" w:hAnsi="Arial" w:cs="Arial"/>
                <w:color w:val="FF0000"/>
              </w:rPr>
              <w:t>Mūzika un skatuves māksla (teātris)</w:t>
            </w:r>
          </w:p>
        </w:tc>
        <w:tc>
          <w:tcPr>
            <w:tcW w:w="700" w:type="pct"/>
            <w:tcBorders>
              <w:top w:val="outset" w:sz="6" w:space="0" w:color="414142"/>
              <w:left w:val="outset" w:sz="6" w:space="0" w:color="414142"/>
              <w:bottom w:val="outset" w:sz="6" w:space="0" w:color="414142"/>
              <w:right w:val="outset" w:sz="6" w:space="0" w:color="414142"/>
            </w:tcBorders>
          </w:tcPr>
          <w:p w:rsidR="005D42FA" w:rsidRPr="00FD61BB" w:rsidRDefault="005D42FA" w:rsidP="00686555">
            <w:pPr>
              <w:rPr>
                <w:rFonts w:ascii="Arial" w:eastAsia="Times New Roman" w:hAnsi="Arial" w:cs="Arial"/>
                <w:color w:val="FF0000"/>
              </w:rPr>
            </w:pPr>
            <w:r w:rsidRPr="00FD61BB">
              <w:rPr>
                <w:rFonts w:ascii="Arial" w:eastAsia="Times New Roman" w:hAnsi="Arial" w:cs="Arial"/>
                <w:color w:val="FF0000"/>
              </w:rPr>
              <w:t>30V</w:t>
            </w:r>
          </w:p>
        </w:tc>
        <w:tc>
          <w:tcPr>
            <w:tcW w:w="2146" w:type="pct"/>
            <w:tcBorders>
              <w:top w:val="outset" w:sz="6" w:space="0" w:color="414142"/>
              <w:left w:val="outset" w:sz="6" w:space="0" w:color="414142"/>
              <w:bottom w:val="outset" w:sz="6" w:space="0" w:color="414142"/>
              <w:right w:val="outset" w:sz="6" w:space="0" w:color="414142"/>
            </w:tcBorders>
          </w:tcPr>
          <w:p w:rsidR="005D42FA" w:rsidRPr="00FD61BB" w:rsidRDefault="005D42FA" w:rsidP="00686555">
            <w:pPr>
              <w:rPr>
                <w:rFonts w:ascii="Arial" w:eastAsia="Times New Roman" w:hAnsi="Arial" w:cs="Arial"/>
                <w:color w:val="FF0000"/>
              </w:rPr>
            </w:pPr>
            <w:r w:rsidRPr="00FD61BB">
              <w:rPr>
                <w:rFonts w:ascii="Arial" w:eastAsia="Times New Roman" w:hAnsi="Arial" w:cs="Arial"/>
                <w:color w:val="FF0000"/>
              </w:rPr>
              <w:t>profesionālās ievirzes izglītība, īstenojama līdztekus vispārējās vai profesionālās vidējās izglītības ieguvei"</w:t>
            </w:r>
          </w:p>
        </w:tc>
      </w:tr>
    </w:tbl>
    <w:p w:rsidR="005D42FA" w:rsidRDefault="005D42FA" w:rsidP="001C5FE1">
      <w:pPr>
        <w:shd w:val="clear" w:color="auto" w:fill="FFFFFF"/>
        <w:ind w:left="-993"/>
        <w:jc w:val="right"/>
        <w:rPr>
          <w:rFonts w:ascii="Arial" w:eastAsia="Times New Roman" w:hAnsi="Arial" w:cs="Arial"/>
          <w:color w:val="414142"/>
        </w:rPr>
      </w:pPr>
      <w:bookmarkStart w:id="75" w:name="piel2"/>
      <w:bookmarkEnd w:id="75"/>
    </w:p>
    <w:p w:rsidR="001C5FE1" w:rsidRPr="001C5FE1" w:rsidRDefault="001C5FE1" w:rsidP="001C5FE1">
      <w:pPr>
        <w:shd w:val="clear" w:color="auto" w:fill="FFFFFF"/>
        <w:ind w:left="-993"/>
        <w:jc w:val="right"/>
        <w:rPr>
          <w:rFonts w:ascii="Arial" w:eastAsia="Times New Roman" w:hAnsi="Arial" w:cs="Arial"/>
          <w:color w:val="414142"/>
        </w:rPr>
      </w:pPr>
      <w:r w:rsidRPr="001C5FE1">
        <w:rPr>
          <w:rFonts w:ascii="Arial" w:eastAsia="Times New Roman" w:hAnsi="Arial" w:cs="Arial"/>
          <w:color w:val="414142"/>
        </w:rPr>
        <w:t>2.pielikums</w:t>
      </w:r>
      <w:r w:rsidRPr="001C5FE1">
        <w:rPr>
          <w:rFonts w:ascii="Arial" w:eastAsia="Times New Roman" w:hAnsi="Arial" w:cs="Arial"/>
          <w:color w:val="414142"/>
        </w:rPr>
        <w:br/>
        <w:t>Ministru kabineta</w:t>
      </w:r>
      <w:r w:rsidRPr="001C5FE1">
        <w:rPr>
          <w:rFonts w:ascii="Arial" w:eastAsia="Times New Roman" w:hAnsi="Arial" w:cs="Arial"/>
          <w:color w:val="414142"/>
        </w:rPr>
        <w:br/>
        <w:t>2011.gada 27.decembra noteikumiem Nr.1035</w:t>
      </w:r>
    </w:p>
    <w:p w:rsidR="001C5FE1" w:rsidRPr="001C5FE1" w:rsidRDefault="001C5FE1" w:rsidP="001C5FE1">
      <w:pPr>
        <w:shd w:val="clear" w:color="auto" w:fill="FFFFFF"/>
        <w:spacing w:before="45" w:line="248" w:lineRule="atLeast"/>
        <w:ind w:left="-993" w:firstLine="300"/>
        <w:jc w:val="right"/>
        <w:rPr>
          <w:rFonts w:ascii="Arial" w:eastAsia="Times New Roman" w:hAnsi="Arial" w:cs="Arial"/>
          <w:i/>
          <w:iCs/>
          <w:color w:val="414142"/>
        </w:rPr>
      </w:pPr>
      <w:r w:rsidRPr="001C5FE1">
        <w:rPr>
          <w:rFonts w:ascii="Arial" w:eastAsia="Times New Roman" w:hAnsi="Arial" w:cs="Arial"/>
          <w:i/>
          <w:iCs/>
          <w:color w:val="414142"/>
        </w:rPr>
        <w:t>(Pielikums MK </w:t>
      </w:r>
      <w:hyperlink r:id="rId79"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p w:rsidR="001C5FE1" w:rsidRPr="001C5FE1" w:rsidRDefault="001C5FE1" w:rsidP="001C5FE1">
      <w:pPr>
        <w:shd w:val="clear" w:color="auto" w:fill="FFFFFF"/>
        <w:spacing w:before="100" w:beforeAutospacing="1" w:after="100" w:afterAutospacing="1" w:line="293" w:lineRule="atLeast"/>
        <w:ind w:left="-993" w:firstLine="300"/>
        <w:jc w:val="right"/>
        <w:rPr>
          <w:rFonts w:ascii="Arial" w:eastAsia="Times New Roman" w:hAnsi="Arial" w:cs="Arial"/>
          <w:color w:val="414142"/>
        </w:rPr>
      </w:pPr>
      <w:r w:rsidRPr="001C5FE1">
        <w:rPr>
          <w:rFonts w:ascii="Arial" w:eastAsia="Times New Roman" w:hAnsi="Arial" w:cs="Arial"/>
          <w:color w:val="414142"/>
        </w:rPr>
        <w:t>1.tabula</w:t>
      </w:r>
    </w:p>
    <w:p w:rsidR="001C5FE1" w:rsidRPr="005D42FA" w:rsidRDefault="001C5FE1" w:rsidP="001C5FE1">
      <w:pPr>
        <w:shd w:val="clear" w:color="auto" w:fill="FFFFFF"/>
        <w:spacing w:before="100" w:beforeAutospacing="1" w:after="100" w:afterAutospacing="1" w:line="293" w:lineRule="atLeast"/>
        <w:ind w:left="-993" w:firstLine="300"/>
        <w:jc w:val="center"/>
        <w:rPr>
          <w:rFonts w:ascii="Arial" w:eastAsia="Times New Roman" w:hAnsi="Arial" w:cs="Arial"/>
          <w:b/>
          <w:bCs/>
          <w:strike/>
          <w:color w:val="FF0000"/>
        </w:rPr>
      </w:pPr>
      <w:r w:rsidRPr="005D42FA">
        <w:rPr>
          <w:rFonts w:ascii="Arial" w:eastAsia="Times New Roman" w:hAnsi="Arial" w:cs="Arial"/>
          <w:b/>
          <w:bCs/>
          <w:strike/>
          <w:color w:val="FF0000"/>
        </w:rPr>
        <w:t>Pieteikums dotācijas saņemšanai n-gadā</w:t>
      </w:r>
    </w:p>
    <w:tbl>
      <w:tblPr>
        <w:tblW w:w="5000"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6"/>
        <w:gridCol w:w="4986"/>
        <w:gridCol w:w="2013"/>
        <w:gridCol w:w="2013"/>
      </w:tblGrid>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5D42FA" w:rsidRDefault="001C5FE1" w:rsidP="005D42FA">
            <w:pPr>
              <w:spacing w:before="100" w:beforeAutospacing="1" w:after="100" w:afterAutospacing="1" w:line="293" w:lineRule="atLeast"/>
              <w:ind w:left="118" w:right="-441"/>
              <w:jc w:val="center"/>
              <w:rPr>
                <w:rFonts w:eastAsia="Times New Roman"/>
                <w:strike/>
                <w:color w:val="FF0000"/>
              </w:rPr>
            </w:pPr>
            <w:r w:rsidRPr="005D42FA">
              <w:rPr>
                <w:rFonts w:eastAsia="Times New Roman"/>
                <w:strike/>
                <w:color w:val="FF0000"/>
              </w:rPr>
              <w:t>Nr.</w:t>
            </w:r>
            <w:r w:rsidRPr="005D42FA">
              <w:rPr>
                <w:rFonts w:eastAsia="Times New Roman"/>
                <w:strike/>
                <w:color w:val="FF0000"/>
              </w:rPr>
              <w:br/>
              <w:t>p.k.</w:t>
            </w:r>
          </w:p>
        </w:tc>
        <w:tc>
          <w:tcPr>
            <w:tcW w:w="2600" w:type="pct"/>
            <w:tcBorders>
              <w:top w:val="outset" w:sz="6" w:space="0" w:color="414142"/>
              <w:left w:val="outset" w:sz="6" w:space="0" w:color="414142"/>
              <w:bottom w:val="outset" w:sz="6" w:space="0" w:color="414142"/>
              <w:right w:val="outset" w:sz="6" w:space="0" w:color="414142"/>
            </w:tcBorders>
            <w:vAlign w:val="center"/>
            <w:hideMark/>
          </w:tcPr>
          <w:p w:rsidR="001C5FE1" w:rsidRPr="005D42FA" w:rsidRDefault="001C5FE1" w:rsidP="005D42FA">
            <w:pPr>
              <w:spacing w:before="100" w:beforeAutospacing="1" w:after="100" w:afterAutospacing="1" w:line="293" w:lineRule="atLeast"/>
              <w:ind w:left="109"/>
              <w:jc w:val="center"/>
              <w:rPr>
                <w:rFonts w:eastAsia="Times New Roman"/>
                <w:strike/>
                <w:color w:val="FF0000"/>
              </w:rPr>
            </w:pPr>
            <w:r w:rsidRPr="005D42FA">
              <w:rPr>
                <w:rFonts w:eastAsia="Times New Roman"/>
                <w:strike/>
                <w:color w:val="FF0000"/>
              </w:rPr>
              <w:t>Profesionālās ievirzes izglītības programmu grupa</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C5FE1" w:rsidRPr="005D42FA" w:rsidRDefault="001C5FE1" w:rsidP="005D42FA">
            <w:pPr>
              <w:spacing w:before="100" w:beforeAutospacing="1" w:after="100" w:afterAutospacing="1" w:line="293" w:lineRule="atLeast"/>
              <w:ind w:left="226"/>
              <w:jc w:val="center"/>
              <w:rPr>
                <w:rFonts w:eastAsia="Times New Roman"/>
                <w:strike/>
                <w:color w:val="FF0000"/>
              </w:rPr>
            </w:pPr>
            <w:r w:rsidRPr="005D42FA">
              <w:rPr>
                <w:rFonts w:eastAsia="Times New Roman"/>
                <w:strike/>
                <w:color w:val="FF0000"/>
              </w:rPr>
              <w:t>Faktiskais audzēkņu skaits n–1 gada 1. septembrī</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1C5FE1" w:rsidRPr="005D42FA" w:rsidRDefault="001C5FE1" w:rsidP="005D42FA">
            <w:pPr>
              <w:spacing w:before="100" w:beforeAutospacing="1" w:after="100" w:afterAutospacing="1" w:line="293" w:lineRule="atLeast"/>
              <w:ind w:left="198"/>
              <w:jc w:val="center"/>
              <w:rPr>
                <w:rFonts w:eastAsia="Times New Roman"/>
                <w:strike/>
                <w:color w:val="FF0000"/>
              </w:rPr>
            </w:pPr>
            <w:r w:rsidRPr="005D42FA">
              <w:rPr>
                <w:rFonts w:eastAsia="Times New Roman"/>
                <w:strike/>
                <w:color w:val="FF0000"/>
              </w:rPr>
              <w:t>Plānotais audzēkņu skaits n gada 1. septembrī</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1.</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Mūzika un skatuves māksla (mūzika), kopā</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1.1.</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10V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1.2.</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20V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1.3.</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30V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2.</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Mūzika un skatuves māksla (deja), kopā</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2.1.</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20V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2.2.</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30V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3.</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Vizuāli plastiskā māksla, kopā</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3.1.</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20V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3.2.</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09"/>
              <w:rPr>
                <w:rFonts w:eastAsia="Times New Roman"/>
                <w:strike/>
                <w:color w:val="FF0000"/>
              </w:rPr>
            </w:pPr>
            <w:r w:rsidRPr="005D42FA">
              <w:rPr>
                <w:rFonts w:eastAsia="Times New Roman"/>
                <w:strike/>
                <w:color w:val="FF0000"/>
              </w:rPr>
              <w:t>kods 30V</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r w:rsidR="005D42FA" w:rsidRPr="005D42FA" w:rsidTr="005D42FA">
        <w:tc>
          <w:tcPr>
            <w:tcW w:w="3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18" w:right="-441"/>
              <w:rPr>
                <w:rFonts w:eastAsia="Times New Roman"/>
                <w:strike/>
                <w:color w:val="FF0000"/>
              </w:rPr>
            </w:pPr>
            <w:r w:rsidRPr="005D42FA">
              <w:rPr>
                <w:rFonts w:eastAsia="Times New Roman"/>
                <w:strike/>
                <w:color w:val="FF0000"/>
              </w:rPr>
              <w:t> </w:t>
            </w:r>
          </w:p>
        </w:tc>
        <w:tc>
          <w:tcPr>
            <w:tcW w:w="260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spacing w:before="100" w:beforeAutospacing="1" w:after="100" w:afterAutospacing="1" w:line="293" w:lineRule="atLeast"/>
              <w:ind w:left="109"/>
              <w:jc w:val="right"/>
              <w:rPr>
                <w:rFonts w:eastAsia="Times New Roman"/>
                <w:strike/>
                <w:color w:val="FF0000"/>
              </w:rPr>
            </w:pPr>
            <w:r w:rsidRPr="005D42FA">
              <w:rPr>
                <w:rFonts w:eastAsia="Times New Roman"/>
                <w:strike/>
                <w:color w:val="FF0000"/>
              </w:rPr>
              <w:t>Kopā</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226"/>
              <w:rPr>
                <w:rFonts w:eastAsia="Times New Roman"/>
                <w:strike/>
                <w:color w:val="FF0000"/>
              </w:rPr>
            </w:pPr>
            <w:r w:rsidRPr="005D42FA">
              <w:rPr>
                <w:rFonts w:eastAsia="Times New Roman"/>
                <w:strike/>
                <w:color w:val="FF0000"/>
              </w:rPr>
              <w:t> </w:t>
            </w:r>
          </w:p>
        </w:tc>
        <w:tc>
          <w:tcPr>
            <w:tcW w:w="1050" w:type="pct"/>
            <w:tcBorders>
              <w:top w:val="outset" w:sz="6" w:space="0" w:color="414142"/>
              <w:left w:val="outset" w:sz="6" w:space="0" w:color="414142"/>
              <w:bottom w:val="outset" w:sz="6" w:space="0" w:color="414142"/>
              <w:right w:val="outset" w:sz="6" w:space="0" w:color="414142"/>
            </w:tcBorders>
            <w:hideMark/>
          </w:tcPr>
          <w:p w:rsidR="001C5FE1" w:rsidRPr="005D42FA" w:rsidRDefault="001C5FE1" w:rsidP="005D42FA">
            <w:pPr>
              <w:ind w:left="198"/>
              <w:rPr>
                <w:rFonts w:eastAsia="Times New Roman"/>
                <w:strike/>
                <w:color w:val="FF0000"/>
              </w:rPr>
            </w:pPr>
            <w:r w:rsidRPr="005D42FA">
              <w:rPr>
                <w:rFonts w:eastAsia="Times New Roman"/>
                <w:strike/>
                <w:color w:val="FF0000"/>
              </w:rPr>
              <w:t> </w:t>
            </w:r>
          </w:p>
        </w:tc>
      </w:tr>
    </w:tbl>
    <w:p w:rsidR="005D42FA" w:rsidRDefault="005D42FA" w:rsidP="001C5FE1">
      <w:pPr>
        <w:shd w:val="clear" w:color="auto" w:fill="FFFFFF"/>
        <w:spacing w:before="100" w:beforeAutospacing="1" w:after="100" w:afterAutospacing="1" w:line="293" w:lineRule="atLeast"/>
        <w:ind w:left="-993" w:firstLine="300"/>
        <w:jc w:val="right"/>
        <w:rPr>
          <w:rFonts w:ascii="Arial" w:eastAsia="Times New Roman" w:hAnsi="Arial" w:cs="Arial"/>
          <w:color w:val="414142"/>
        </w:rPr>
      </w:pPr>
    </w:p>
    <w:p w:rsidR="005D42FA" w:rsidRDefault="005D42FA" w:rsidP="001C5FE1">
      <w:pPr>
        <w:shd w:val="clear" w:color="auto" w:fill="FFFFFF"/>
        <w:spacing w:before="100" w:beforeAutospacing="1" w:after="100" w:afterAutospacing="1" w:line="293" w:lineRule="atLeast"/>
        <w:ind w:left="-993" w:firstLine="300"/>
        <w:jc w:val="right"/>
        <w:rPr>
          <w:rFonts w:ascii="Arial" w:eastAsia="Times New Roman" w:hAnsi="Arial" w:cs="Arial"/>
          <w:color w:val="414142"/>
        </w:rPr>
      </w:pPr>
    </w:p>
    <w:p w:rsidR="005D42FA" w:rsidRDefault="005D42FA" w:rsidP="001C5FE1">
      <w:pPr>
        <w:shd w:val="clear" w:color="auto" w:fill="FFFFFF"/>
        <w:spacing w:before="100" w:beforeAutospacing="1" w:after="100" w:afterAutospacing="1" w:line="293" w:lineRule="atLeast"/>
        <w:ind w:left="-993" w:firstLine="300"/>
        <w:jc w:val="right"/>
        <w:rPr>
          <w:rFonts w:ascii="Arial" w:eastAsia="Times New Roman" w:hAnsi="Arial" w:cs="Arial"/>
          <w:color w:val="414142"/>
        </w:rPr>
      </w:pPr>
    </w:p>
    <w:tbl>
      <w:tblPr>
        <w:tblW w:w="5069"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82"/>
        <w:gridCol w:w="3208"/>
        <w:gridCol w:w="387"/>
        <w:gridCol w:w="1752"/>
        <w:gridCol w:w="1652"/>
        <w:gridCol w:w="774"/>
        <w:gridCol w:w="1365"/>
      </w:tblGrid>
      <w:tr w:rsidR="005D42FA" w:rsidRPr="00FD61BB" w:rsidTr="005D42FA">
        <w:trPr>
          <w:trHeight w:val="952"/>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42FA" w:rsidRPr="00FD61BB" w:rsidRDefault="005D42FA" w:rsidP="008E319A">
            <w:pPr>
              <w:jc w:val="center"/>
              <w:rPr>
                <w:rFonts w:ascii="Arial" w:eastAsia="Times New Roman" w:hAnsi="Arial" w:cs="Arial"/>
                <w:color w:val="FF0000"/>
              </w:rPr>
            </w:pPr>
            <w:r w:rsidRPr="00FD61BB">
              <w:rPr>
                <w:rFonts w:ascii="Arial" w:eastAsia="Times New Roman" w:hAnsi="Arial" w:cs="Arial"/>
                <w:color w:val="FF0000"/>
              </w:rPr>
              <w:t>Nr.</w:t>
            </w:r>
            <w:r w:rsidRPr="00FD61BB">
              <w:rPr>
                <w:rFonts w:ascii="Arial" w:eastAsia="Times New Roman" w:hAnsi="Arial" w:cs="Arial"/>
                <w:color w:val="FF0000"/>
              </w:rPr>
              <w:br/>
              <w:t>p. k.</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42FA" w:rsidRPr="00FD61BB" w:rsidRDefault="005D42FA" w:rsidP="008E319A">
            <w:pPr>
              <w:jc w:val="center"/>
              <w:rPr>
                <w:rFonts w:ascii="Arial" w:eastAsia="Times New Roman" w:hAnsi="Arial" w:cs="Arial"/>
                <w:color w:val="FF0000"/>
              </w:rPr>
            </w:pPr>
            <w:r w:rsidRPr="00FD61BB">
              <w:rPr>
                <w:rFonts w:ascii="Arial" w:eastAsia="Times New Roman" w:hAnsi="Arial" w:cs="Arial"/>
                <w:color w:val="FF0000"/>
              </w:rPr>
              <w:t>Profesionālās ievirzes izglītības programmu grupa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42FA" w:rsidRPr="00FD61BB" w:rsidRDefault="005D42FA" w:rsidP="008E319A">
            <w:pPr>
              <w:jc w:val="center"/>
              <w:rPr>
                <w:rFonts w:ascii="Arial" w:eastAsia="Times New Roman" w:hAnsi="Arial" w:cs="Arial"/>
                <w:color w:val="FF0000"/>
              </w:rPr>
            </w:pPr>
            <w:r w:rsidRPr="00FD61BB">
              <w:rPr>
                <w:rFonts w:ascii="Arial" w:eastAsia="Times New Roman" w:hAnsi="Arial" w:cs="Arial"/>
                <w:color w:val="FF0000"/>
              </w:rPr>
              <w:t>Faktiskais audzēkņu skaits akreditētās izglītības programmās n-1 gada 1. septembrī</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42FA" w:rsidRPr="00FD61BB" w:rsidRDefault="005D42FA" w:rsidP="008E319A">
            <w:pPr>
              <w:jc w:val="center"/>
              <w:rPr>
                <w:rFonts w:ascii="Arial" w:eastAsia="Times New Roman" w:hAnsi="Arial" w:cs="Arial"/>
                <w:color w:val="FF0000"/>
              </w:rPr>
            </w:pPr>
            <w:r w:rsidRPr="00FD61BB">
              <w:rPr>
                <w:rFonts w:ascii="Arial" w:eastAsia="Times New Roman" w:hAnsi="Arial" w:cs="Arial"/>
                <w:color w:val="FF0000"/>
              </w:rPr>
              <w:t>No tiem pieteikti valsts budžeta finansējumam n gadā</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D42FA" w:rsidRPr="00FD61BB" w:rsidRDefault="005D42FA" w:rsidP="008E319A">
            <w:pPr>
              <w:jc w:val="center"/>
              <w:rPr>
                <w:rFonts w:ascii="Arial" w:eastAsia="Times New Roman" w:hAnsi="Arial" w:cs="Arial"/>
                <w:color w:val="FF0000"/>
              </w:rPr>
            </w:pPr>
            <w:r w:rsidRPr="00FD61BB">
              <w:rPr>
                <w:rFonts w:ascii="Arial" w:eastAsia="Times New Roman" w:hAnsi="Arial" w:cs="Arial"/>
                <w:color w:val="FF0000"/>
              </w:rPr>
              <w:t>Plānotais audzēkņu skaits akreditētās izglītības programmās n gada 1. septembrī</w:t>
            </w:r>
          </w:p>
        </w:tc>
      </w:tr>
      <w:tr w:rsidR="005D42FA" w:rsidRPr="00FD61BB" w:rsidTr="005D42FA">
        <w:trPr>
          <w:trHeight w:val="476"/>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Mūzika un skatuves māksla (mūzika), kopā</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1.1.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10V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1.2.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20V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1.3.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30V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490"/>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Mūzika un skatuves māksla (deja), kopā</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2.1.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20V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2.2.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30V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3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Vizuāli plastiskā māksla, kopā</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3.1.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20V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4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3.2.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kods 30V</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trHeight w:val="258"/>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Kopā</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5D42FA">
        <w:trPr>
          <w:gridAfter w:val="1"/>
          <w:wAfter w:w="703" w:type="pct"/>
        </w:trPr>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Dibinātājs</w:t>
            </w:r>
          </w:p>
        </w:tc>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Izglītības iestāde</w:t>
            </w:r>
          </w:p>
        </w:tc>
      </w:tr>
      <w:tr w:rsidR="005D42FA" w:rsidRPr="00FD61BB" w:rsidTr="005D42FA">
        <w:trPr>
          <w:gridAfter w:val="1"/>
          <w:wAfter w:w="703" w:type="pct"/>
        </w:trPr>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Adrese</w:t>
            </w:r>
          </w:p>
        </w:tc>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Adrese</w:t>
            </w:r>
          </w:p>
        </w:tc>
      </w:tr>
      <w:tr w:rsidR="005D42FA" w:rsidRPr="00FD61BB" w:rsidTr="005D42FA">
        <w:trPr>
          <w:gridAfter w:val="1"/>
          <w:wAfter w:w="703" w:type="pct"/>
        </w:trPr>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Reģistrācijas numurs</w:t>
            </w:r>
          </w:p>
        </w:tc>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Reģistrācijas numurs</w:t>
            </w:r>
          </w:p>
        </w:tc>
      </w:tr>
      <w:tr w:rsidR="005D42FA" w:rsidRPr="00FD61BB" w:rsidTr="005D42FA">
        <w:trPr>
          <w:gridAfter w:val="1"/>
          <w:wAfter w:w="703" w:type="pct"/>
        </w:trPr>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Bankas konta numurs dotācijas finansējuma saņemšanai*</w:t>
            </w:r>
          </w:p>
        </w:tc>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Bankas konta numurs dotācijas finansējuma saņemšanai*</w:t>
            </w:r>
          </w:p>
        </w:tc>
      </w:tr>
      <w:tr w:rsidR="005D42FA" w:rsidRPr="00FD61BB" w:rsidTr="005D42FA">
        <w:trPr>
          <w:gridAfter w:val="1"/>
          <w:wAfter w:w="703" w:type="pct"/>
        </w:trPr>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Atbildīgā amatpersona</w:t>
            </w:r>
          </w:p>
        </w:tc>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Atbildīgā amatpersona</w:t>
            </w:r>
          </w:p>
        </w:tc>
      </w:tr>
    </w:tbl>
    <w:p w:rsidR="005D42FA" w:rsidRPr="00FD61BB" w:rsidRDefault="005D42FA" w:rsidP="005D42FA">
      <w:pPr>
        <w:rPr>
          <w:rFonts w:eastAsia="Times New Roman"/>
          <w:vanish/>
          <w:color w:val="FF0000"/>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712"/>
        <w:gridCol w:w="291"/>
        <w:gridCol w:w="1549"/>
        <w:gridCol w:w="387"/>
        <w:gridCol w:w="2711"/>
        <w:gridCol w:w="291"/>
        <w:gridCol w:w="1647"/>
      </w:tblGrid>
      <w:tr w:rsidR="005D42FA" w:rsidRPr="00FD61BB" w:rsidTr="008E319A">
        <w:trPr>
          <w:trHeight w:val="300"/>
        </w:trPr>
        <w:tc>
          <w:tcPr>
            <w:tcW w:w="1400" w:type="pct"/>
            <w:tcBorders>
              <w:top w:val="nil"/>
              <w:left w:val="nil"/>
              <w:bottom w:val="single" w:sz="6" w:space="0" w:color="414142"/>
              <w:right w:val="nil"/>
            </w:tcBorders>
            <w:shd w:val="clear" w:color="auto" w:fill="FFFFFF"/>
            <w:vAlign w:val="center"/>
            <w:hideMark/>
          </w:tcPr>
          <w:p w:rsidR="005D42FA" w:rsidRPr="00FD61BB" w:rsidRDefault="005D42FA" w:rsidP="008E319A">
            <w:pPr>
              <w:rPr>
                <w:rFonts w:ascii="Arial" w:eastAsia="Times New Roman" w:hAnsi="Arial" w:cs="Arial"/>
                <w:color w:val="FF0000"/>
              </w:rPr>
            </w:pP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00" w:type="pct"/>
            <w:tcBorders>
              <w:top w:val="nil"/>
              <w:left w:val="nil"/>
              <w:bottom w:val="single" w:sz="6" w:space="0" w:color="414142"/>
              <w:right w:val="nil"/>
            </w:tcBorders>
            <w:shd w:val="clear" w:color="auto" w:fill="FFFFFF"/>
            <w:vAlign w:val="center"/>
            <w:hideMark/>
          </w:tcPr>
          <w:p w:rsidR="005D42FA" w:rsidRPr="00FD61BB" w:rsidRDefault="005D42FA" w:rsidP="008E319A">
            <w:pPr>
              <w:rPr>
                <w:rFonts w:ascii="Arial" w:eastAsia="Times New Roman" w:hAnsi="Arial" w:cs="Arial"/>
                <w:color w:val="FF0000"/>
              </w:rPr>
            </w:pPr>
          </w:p>
        </w:tc>
        <w:tc>
          <w:tcPr>
            <w:tcW w:w="20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400" w:type="pct"/>
            <w:tcBorders>
              <w:top w:val="nil"/>
              <w:left w:val="nil"/>
              <w:bottom w:val="single" w:sz="6" w:space="0" w:color="414142"/>
              <w:right w:val="nil"/>
            </w:tcBorders>
            <w:shd w:val="clear" w:color="auto" w:fill="FFFFFF"/>
            <w:vAlign w:val="center"/>
            <w:hideMark/>
          </w:tcPr>
          <w:p w:rsidR="005D42FA" w:rsidRPr="00FD61BB" w:rsidRDefault="005D42FA" w:rsidP="008E319A">
            <w:pPr>
              <w:rPr>
                <w:rFonts w:ascii="Arial" w:eastAsia="Times New Roman" w:hAnsi="Arial" w:cs="Arial"/>
                <w:color w:val="FF0000"/>
              </w:rPr>
            </w:pP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nil"/>
              <w:left w:val="nil"/>
              <w:bottom w:val="single" w:sz="6" w:space="0" w:color="414142"/>
              <w:right w:val="nil"/>
            </w:tcBorders>
            <w:shd w:val="clear" w:color="auto" w:fill="FFFFFF"/>
            <w:vAlign w:val="center"/>
            <w:hideMark/>
          </w:tcPr>
          <w:p w:rsidR="005D42FA" w:rsidRPr="00FD61BB" w:rsidRDefault="005D42FA" w:rsidP="008E319A">
            <w:pPr>
              <w:rPr>
                <w:rFonts w:ascii="Arial" w:eastAsia="Times New Roman" w:hAnsi="Arial" w:cs="Arial"/>
                <w:color w:val="FF0000"/>
              </w:rPr>
            </w:pPr>
          </w:p>
        </w:tc>
      </w:tr>
      <w:tr w:rsidR="005D42FA" w:rsidRPr="00FD61BB" w:rsidTr="008E319A">
        <w:tc>
          <w:tcPr>
            <w:tcW w:w="1400" w:type="pct"/>
            <w:tcBorders>
              <w:top w:val="outset" w:sz="6" w:space="0" w:color="414142"/>
              <w:left w:val="nil"/>
              <w:bottom w:val="nil"/>
              <w:right w:val="nil"/>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(vārds, uzvārds)</w:t>
            </w: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00" w:type="pct"/>
            <w:tcBorders>
              <w:top w:val="outset" w:sz="6" w:space="0" w:color="414142"/>
              <w:left w:val="nil"/>
              <w:bottom w:val="nil"/>
              <w:right w:val="nil"/>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(paraksts)</w:t>
            </w:r>
          </w:p>
        </w:tc>
        <w:tc>
          <w:tcPr>
            <w:tcW w:w="20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400" w:type="pct"/>
            <w:tcBorders>
              <w:top w:val="outset" w:sz="6" w:space="0" w:color="414142"/>
              <w:left w:val="nil"/>
              <w:bottom w:val="nil"/>
              <w:right w:val="nil"/>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(vārds, uzvārds)</w:t>
            </w: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outset" w:sz="6" w:space="0" w:color="414142"/>
              <w:left w:val="nil"/>
              <w:bottom w:val="nil"/>
              <w:right w:val="nil"/>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(paraksts)</w:t>
            </w:r>
          </w:p>
        </w:tc>
      </w:tr>
      <w:tr w:rsidR="005D42FA" w:rsidRPr="00FD61BB" w:rsidTr="008E319A">
        <w:trPr>
          <w:trHeight w:val="300"/>
        </w:trPr>
        <w:tc>
          <w:tcPr>
            <w:tcW w:w="1400" w:type="pct"/>
            <w:tcBorders>
              <w:top w:val="nil"/>
              <w:left w:val="nil"/>
              <w:bottom w:val="single" w:sz="6" w:space="0" w:color="414142"/>
              <w:right w:val="nil"/>
            </w:tcBorders>
            <w:shd w:val="clear" w:color="auto" w:fill="FFFFFF"/>
            <w:vAlign w:val="center"/>
            <w:hideMark/>
          </w:tcPr>
          <w:p w:rsidR="005D42FA" w:rsidRPr="00FD61BB" w:rsidRDefault="005D42FA" w:rsidP="008E319A">
            <w:pPr>
              <w:rPr>
                <w:rFonts w:ascii="Arial" w:eastAsia="Times New Roman" w:hAnsi="Arial" w:cs="Arial"/>
                <w:color w:val="FF0000"/>
              </w:rPr>
            </w:pP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0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20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400" w:type="pct"/>
            <w:tcBorders>
              <w:top w:val="nil"/>
              <w:left w:val="nil"/>
              <w:bottom w:val="single" w:sz="6" w:space="0" w:color="414142"/>
              <w:right w:val="nil"/>
            </w:tcBorders>
            <w:shd w:val="clear" w:color="auto" w:fill="FFFFFF"/>
            <w:vAlign w:val="center"/>
            <w:hideMark/>
          </w:tcPr>
          <w:p w:rsidR="005D42FA" w:rsidRPr="00FD61BB" w:rsidRDefault="005D42FA" w:rsidP="008E319A">
            <w:pPr>
              <w:rPr>
                <w:rFonts w:ascii="Arial" w:eastAsia="Times New Roman" w:hAnsi="Arial" w:cs="Arial"/>
                <w:color w:val="FF0000"/>
              </w:rPr>
            </w:pP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r w:rsidR="005D42FA" w:rsidRPr="00FD61BB" w:rsidTr="008E319A">
        <w:tc>
          <w:tcPr>
            <w:tcW w:w="1400" w:type="pct"/>
            <w:tcBorders>
              <w:top w:val="outset" w:sz="6" w:space="0" w:color="414142"/>
              <w:left w:val="nil"/>
              <w:bottom w:val="nil"/>
              <w:right w:val="nil"/>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(datums)</w:t>
            </w: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0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20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1400" w:type="pct"/>
            <w:tcBorders>
              <w:top w:val="outset" w:sz="6" w:space="0" w:color="414142"/>
              <w:left w:val="nil"/>
              <w:bottom w:val="nil"/>
              <w:right w:val="nil"/>
            </w:tcBorders>
            <w:shd w:val="clear" w:color="auto" w:fill="FFFFFF"/>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(datums)</w:t>
            </w:r>
          </w:p>
        </w:tc>
        <w:tc>
          <w:tcPr>
            <w:tcW w:w="1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c>
          <w:tcPr>
            <w:tcW w:w="850" w:type="pct"/>
            <w:tcBorders>
              <w:top w:val="nil"/>
              <w:left w:val="nil"/>
              <w:bottom w:val="nil"/>
              <w:right w:val="nil"/>
            </w:tcBorders>
            <w:shd w:val="clear" w:color="auto" w:fill="FFFFFF"/>
            <w:vAlign w:val="center"/>
            <w:hideMark/>
          </w:tcPr>
          <w:p w:rsidR="005D42FA" w:rsidRPr="00FD61BB" w:rsidRDefault="005D42FA" w:rsidP="008E319A">
            <w:pPr>
              <w:rPr>
                <w:rFonts w:ascii="Arial" w:eastAsia="Times New Roman" w:hAnsi="Arial" w:cs="Arial"/>
                <w:color w:val="FF0000"/>
              </w:rPr>
            </w:pPr>
            <w:r w:rsidRPr="00FD61BB">
              <w:rPr>
                <w:rFonts w:ascii="Arial" w:eastAsia="Times New Roman" w:hAnsi="Arial" w:cs="Arial"/>
                <w:color w:val="FF0000"/>
              </w:rPr>
              <w:t> </w:t>
            </w:r>
          </w:p>
        </w:tc>
      </w:tr>
    </w:tbl>
    <w:p w:rsidR="005D42FA" w:rsidRPr="00FD61BB" w:rsidRDefault="005D42FA" w:rsidP="005D42FA">
      <w:pPr>
        <w:shd w:val="clear" w:color="auto" w:fill="FFFFFF"/>
        <w:spacing w:before="100" w:beforeAutospacing="1" w:after="100" w:afterAutospacing="1" w:line="293" w:lineRule="atLeast"/>
        <w:ind w:firstLine="300"/>
        <w:rPr>
          <w:rFonts w:ascii="Arial" w:eastAsia="Times New Roman" w:hAnsi="Arial" w:cs="Arial"/>
          <w:color w:val="FF0000"/>
        </w:rPr>
      </w:pPr>
      <w:r w:rsidRPr="00FD61BB">
        <w:rPr>
          <w:rFonts w:ascii="Arial" w:eastAsia="Times New Roman" w:hAnsi="Arial" w:cs="Arial"/>
          <w:color w:val="FF0000"/>
        </w:rPr>
        <w:t>Piezīme. * Bankas konta numuru dotācijas saņemšanai Valsts kasē norāda par vienu saņēmēju (dibinātāju vai izglītības iestādi)."</w:t>
      </w:r>
    </w:p>
    <w:p w:rsidR="001C5FE1" w:rsidRPr="001C5FE1" w:rsidRDefault="001C5FE1" w:rsidP="001C5FE1">
      <w:pPr>
        <w:shd w:val="clear" w:color="auto" w:fill="FFFFFF"/>
        <w:spacing w:before="100" w:beforeAutospacing="1" w:after="100" w:afterAutospacing="1" w:line="293" w:lineRule="atLeast"/>
        <w:ind w:left="-993" w:firstLine="300"/>
        <w:jc w:val="right"/>
        <w:rPr>
          <w:rFonts w:ascii="Arial" w:eastAsia="Times New Roman" w:hAnsi="Arial" w:cs="Arial"/>
          <w:color w:val="414142"/>
        </w:rPr>
      </w:pPr>
      <w:r w:rsidRPr="001C5FE1">
        <w:rPr>
          <w:rFonts w:ascii="Arial" w:eastAsia="Times New Roman" w:hAnsi="Arial" w:cs="Arial"/>
          <w:color w:val="414142"/>
        </w:rPr>
        <w:t>2.tabula</w:t>
      </w:r>
    </w:p>
    <w:p w:rsidR="001C5FE1" w:rsidRPr="001C5FE1" w:rsidRDefault="001C5FE1" w:rsidP="001C5FE1">
      <w:pPr>
        <w:shd w:val="clear" w:color="auto" w:fill="FFFFFF"/>
        <w:spacing w:before="100" w:beforeAutospacing="1" w:after="100" w:afterAutospacing="1" w:line="293" w:lineRule="atLeast"/>
        <w:ind w:left="-993" w:firstLine="300"/>
        <w:jc w:val="center"/>
        <w:rPr>
          <w:rFonts w:ascii="Arial" w:eastAsia="Times New Roman" w:hAnsi="Arial" w:cs="Arial"/>
          <w:b/>
          <w:bCs/>
          <w:color w:val="414142"/>
        </w:rPr>
      </w:pPr>
      <w:r w:rsidRPr="001C5FE1">
        <w:rPr>
          <w:rFonts w:ascii="Arial" w:eastAsia="Times New Roman" w:hAnsi="Arial" w:cs="Arial"/>
          <w:b/>
          <w:bCs/>
          <w:color w:val="414142"/>
        </w:rPr>
        <w:t>Pedagoģisko likmju un pedagogu skaits, kuri ieguvuši 3., 4. un 5.kvalitātes pakāpi un tarificēti no valsts budžeta finansētās daļas uz n–1 gada 1.septembri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34"/>
        <w:gridCol w:w="1630"/>
        <w:gridCol w:w="1630"/>
        <w:gridCol w:w="1630"/>
        <w:gridCol w:w="1630"/>
        <w:gridCol w:w="1534"/>
      </w:tblGrid>
      <w:tr w:rsidR="001C5FE1" w:rsidRPr="001C5FE1" w:rsidTr="001C5FE1">
        <w:tc>
          <w:tcPr>
            <w:tcW w:w="8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Pedagogu skaits</w:t>
            </w:r>
            <w:r w:rsidRPr="001C5FE1">
              <w:rPr>
                <w:rFonts w:eastAsia="Times New Roman"/>
                <w:color w:val="414142"/>
              </w:rPr>
              <w:br/>
              <w:t>(3. kvalitātes pakāpe)</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Pedagoģisko likmju skaits</w:t>
            </w:r>
            <w:r w:rsidRPr="001C5FE1">
              <w:rPr>
                <w:rFonts w:eastAsia="Times New Roman"/>
                <w:color w:val="414142"/>
              </w:rPr>
              <w:br/>
              <w:t>(3. kvalitātes pakāpe)</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Pedagogu skaits</w:t>
            </w:r>
            <w:r w:rsidRPr="001C5FE1">
              <w:rPr>
                <w:rFonts w:eastAsia="Times New Roman"/>
                <w:color w:val="414142"/>
              </w:rPr>
              <w:br/>
              <w:t>(4. kvalitātes pakāpe)</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Pedagoģisko likmju skaits</w:t>
            </w:r>
            <w:r w:rsidRPr="001C5FE1">
              <w:rPr>
                <w:rFonts w:eastAsia="Times New Roman"/>
                <w:color w:val="414142"/>
              </w:rPr>
              <w:br/>
              <w:t>(4. kvalitātes pakāpe)</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Pedagogu skaits</w:t>
            </w:r>
            <w:r w:rsidRPr="001C5FE1">
              <w:rPr>
                <w:rFonts w:eastAsia="Times New Roman"/>
                <w:color w:val="414142"/>
              </w:rPr>
              <w:br/>
              <w:t>(5. kvalitātes pakāpe)</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Pedagoģisko likmju skaits</w:t>
            </w:r>
            <w:r w:rsidRPr="001C5FE1">
              <w:rPr>
                <w:rFonts w:eastAsia="Times New Roman"/>
                <w:color w:val="414142"/>
              </w:rPr>
              <w:br/>
              <w:t>(5. kvalitātes pakāpe)</w:t>
            </w:r>
          </w:p>
        </w:tc>
      </w:tr>
      <w:tr w:rsidR="001C5FE1" w:rsidRPr="001C5FE1" w:rsidTr="001C5FE1">
        <w:trPr>
          <w:trHeight w:val="300"/>
        </w:trPr>
        <w:tc>
          <w:tcPr>
            <w:tcW w:w="8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r>
    </w:tbl>
    <w:p w:rsidR="001C5FE1" w:rsidRPr="001C5FE1" w:rsidRDefault="001C5FE1" w:rsidP="001C5FE1">
      <w:pPr>
        <w:shd w:val="clear" w:color="auto" w:fill="FFFFFF"/>
        <w:ind w:left="-993"/>
        <w:rPr>
          <w:rFonts w:ascii="Arial" w:eastAsia="Times New Roman" w:hAnsi="Arial" w:cs="Arial"/>
          <w:color w:val="414142"/>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94"/>
        <w:gridCol w:w="4794"/>
      </w:tblGrid>
      <w:tr w:rsidR="001C5FE1" w:rsidRPr="001C5FE1" w:rsidTr="001C5FE1">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Dibinātājs</w:t>
            </w:r>
          </w:p>
        </w:tc>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Izglītības iestāde</w:t>
            </w:r>
          </w:p>
        </w:tc>
      </w:tr>
      <w:tr w:rsidR="001C5FE1" w:rsidRPr="001C5FE1" w:rsidTr="001C5FE1">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Adrese</w:t>
            </w:r>
          </w:p>
        </w:tc>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Adrese</w:t>
            </w:r>
          </w:p>
        </w:tc>
      </w:tr>
      <w:tr w:rsidR="001C5FE1" w:rsidRPr="001C5FE1" w:rsidTr="001C5FE1">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Reģistrācijas numurs</w:t>
            </w:r>
          </w:p>
        </w:tc>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Reģistrācijas numurs</w:t>
            </w:r>
          </w:p>
        </w:tc>
      </w:tr>
      <w:tr w:rsidR="001C5FE1" w:rsidRPr="001C5FE1" w:rsidTr="001C5FE1">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Bankas konts</w:t>
            </w:r>
          </w:p>
        </w:tc>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Bankas konts</w:t>
            </w:r>
          </w:p>
        </w:tc>
      </w:tr>
      <w:tr w:rsidR="001C5FE1" w:rsidRPr="001C5FE1" w:rsidTr="001C5FE1">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Atbildīgā amatpersona</w:t>
            </w:r>
          </w:p>
        </w:tc>
        <w:tc>
          <w:tcPr>
            <w:tcW w:w="2500" w:type="pct"/>
            <w:tcBorders>
              <w:top w:val="outset" w:sz="6" w:space="0" w:color="414142"/>
              <w:left w:val="outset" w:sz="6" w:space="0" w:color="414142"/>
              <w:bottom w:val="outset" w:sz="6" w:space="0" w:color="414142"/>
              <w:right w:val="outset" w:sz="6" w:space="0" w:color="414142"/>
            </w:tcBorders>
            <w:hideMark/>
          </w:tcPr>
          <w:p w:rsidR="001C5FE1" w:rsidRPr="001C5FE1" w:rsidRDefault="001C5FE1" w:rsidP="001C5FE1">
            <w:pPr>
              <w:ind w:left="-993"/>
              <w:rPr>
                <w:rFonts w:eastAsia="Times New Roman"/>
                <w:color w:val="414142"/>
              </w:rPr>
            </w:pPr>
            <w:r w:rsidRPr="001C5FE1">
              <w:rPr>
                <w:rFonts w:eastAsia="Times New Roman"/>
                <w:color w:val="414142"/>
              </w:rPr>
              <w:t>Atbildīgā amatpersona</w:t>
            </w:r>
          </w:p>
        </w:tc>
      </w:tr>
    </w:tbl>
    <w:p w:rsidR="001C5FE1" w:rsidRPr="001C5FE1" w:rsidRDefault="001C5FE1" w:rsidP="001C5FE1">
      <w:pPr>
        <w:shd w:val="clear" w:color="auto" w:fill="FFFFFF"/>
        <w:ind w:left="-993"/>
        <w:rPr>
          <w:rFonts w:ascii="Arial" w:eastAsia="Times New Roman" w:hAnsi="Arial" w:cs="Arial"/>
          <w:color w:val="414142"/>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712"/>
        <w:gridCol w:w="291"/>
        <w:gridCol w:w="1549"/>
        <w:gridCol w:w="387"/>
        <w:gridCol w:w="2711"/>
        <w:gridCol w:w="291"/>
        <w:gridCol w:w="1647"/>
      </w:tblGrid>
      <w:tr w:rsidR="001C5FE1" w:rsidRPr="001C5FE1" w:rsidTr="001C5FE1">
        <w:trPr>
          <w:trHeight w:val="300"/>
        </w:trPr>
        <w:tc>
          <w:tcPr>
            <w:tcW w:w="1400" w:type="pct"/>
            <w:tcBorders>
              <w:top w:val="nil"/>
              <w:left w:val="nil"/>
              <w:bottom w:val="single" w:sz="6" w:space="0" w:color="414142"/>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00" w:type="pct"/>
            <w:tcBorders>
              <w:top w:val="nil"/>
              <w:left w:val="nil"/>
              <w:bottom w:val="single" w:sz="6" w:space="0" w:color="414142"/>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20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400" w:type="pct"/>
            <w:tcBorders>
              <w:top w:val="nil"/>
              <w:left w:val="nil"/>
              <w:bottom w:val="single" w:sz="6" w:space="0" w:color="414142"/>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nil"/>
              <w:left w:val="nil"/>
              <w:bottom w:val="single" w:sz="6" w:space="0" w:color="414142"/>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r>
      <w:tr w:rsidR="001C5FE1" w:rsidRPr="001C5FE1" w:rsidTr="001C5FE1">
        <w:tc>
          <w:tcPr>
            <w:tcW w:w="1400" w:type="pct"/>
            <w:tcBorders>
              <w:top w:val="outset" w:sz="6" w:space="0" w:color="414142"/>
              <w:left w:val="nil"/>
              <w:bottom w:val="nil"/>
              <w:right w:val="nil"/>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(vārds, uzvārds)</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00" w:type="pct"/>
            <w:tcBorders>
              <w:top w:val="outset" w:sz="6" w:space="0" w:color="414142"/>
              <w:left w:val="nil"/>
              <w:bottom w:val="nil"/>
              <w:right w:val="nil"/>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(paraksts*)</w:t>
            </w:r>
          </w:p>
        </w:tc>
        <w:tc>
          <w:tcPr>
            <w:tcW w:w="20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400" w:type="pct"/>
            <w:tcBorders>
              <w:top w:val="outset" w:sz="6" w:space="0" w:color="414142"/>
              <w:left w:val="nil"/>
              <w:bottom w:val="nil"/>
              <w:right w:val="nil"/>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(vārds, uzvārds)</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outset" w:sz="6" w:space="0" w:color="414142"/>
              <w:left w:val="nil"/>
              <w:bottom w:val="nil"/>
              <w:right w:val="nil"/>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(paraksts*)</w:t>
            </w:r>
          </w:p>
        </w:tc>
      </w:tr>
      <w:tr w:rsidR="001C5FE1" w:rsidRPr="001C5FE1" w:rsidTr="001C5FE1">
        <w:trPr>
          <w:trHeight w:val="300"/>
        </w:trPr>
        <w:tc>
          <w:tcPr>
            <w:tcW w:w="1400" w:type="pct"/>
            <w:tcBorders>
              <w:top w:val="nil"/>
              <w:left w:val="nil"/>
              <w:bottom w:val="single" w:sz="6" w:space="0" w:color="414142"/>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lastRenderedPageBreak/>
              <w:t> </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0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20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400" w:type="pct"/>
            <w:tcBorders>
              <w:top w:val="nil"/>
              <w:left w:val="nil"/>
              <w:bottom w:val="single" w:sz="6" w:space="0" w:color="414142"/>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r>
      <w:tr w:rsidR="001C5FE1" w:rsidRPr="001C5FE1" w:rsidTr="001C5FE1">
        <w:tc>
          <w:tcPr>
            <w:tcW w:w="1400" w:type="pct"/>
            <w:tcBorders>
              <w:top w:val="outset" w:sz="6" w:space="0" w:color="414142"/>
              <w:left w:val="nil"/>
              <w:bottom w:val="nil"/>
              <w:right w:val="nil"/>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(datums*)</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0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20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1400" w:type="pct"/>
            <w:tcBorders>
              <w:top w:val="outset" w:sz="6" w:space="0" w:color="414142"/>
              <w:left w:val="nil"/>
              <w:bottom w:val="nil"/>
              <w:right w:val="nil"/>
            </w:tcBorders>
            <w:hideMark/>
          </w:tcPr>
          <w:p w:rsidR="001C5FE1" w:rsidRPr="001C5FE1" w:rsidRDefault="001C5FE1" w:rsidP="001C5FE1">
            <w:pPr>
              <w:spacing w:before="100" w:beforeAutospacing="1" w:after="100" w:afterAutospacing="1" w:line="293" w:lineRule="atLeast"/>
              <w:ind w:left="-993"/>
              <w:jc w:val="center"/>
              <w:rPr>
                <w:rFonts w:eastAsia="Times New Roman"/>
                <w:color w:val="414142"/>
              </w:rPr>
            </w:pPr>
            <w:r w:rsidRPr="001C5FE1">
              <w:rPr>
                <w:rFonts w:eastAsia="Times New Roman"/>
                <w:color w:val="414142"/>
              </w:rPr>
              <w:t>(datums*)</w:t>
            </w:r>
          </w:p>
        </w:tc>
        <w:tc>
          <w:tcPr>
            <w:tcW w:w="1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c>
          <w:tcPr>
            <w:tcW w:w="850" w:type="pct"/>
            <w:tcBorders>
              <w:top w:val="nil"/>
              <w:left w:val="nil"/>
              <w:bottom w:val="nil"/>
              <w:right w:val="nil"/>
            </w:tcBorders>
            <w:vAlign w:val="center"/>
            <w:hideMark/>
          </w:tcPr>
          <w:p w:rsidR="001C5FE1" w:rsidRPr="001C5FE1" w:rsidRDefault="001C5FE1" w:rsidP="001C5FE1">
            <w:pPr>
              <w:ind w:left="-993"/>
              <w:rPr>
                <w:rFonts w:eastAsia="Times New Roman"/>
                <w:color w:val="414142"/>
              </w:rPr>
            </w:pPr>
            <w:r w:rsidRPr="001C5FE1">
              <w:rPr>
                <w:rFonts w:eastAsia="Times New Roman"/>
                <w:color w:val="414142"/>
              </w:rPr>
              <w:t> </w:t>
            </w:r>
          </w:p>
        </w:tc>
      </w:tr>
    </w:tbl>
    <w:p w:rsidR="001C5FE1" w:rsidRDefault="001C5FE1" w:rsidP="001C5FE1">
      <w:pPr>
        <w:shd w:val="clear" w:color="auto" w:fill="FFFFFF"/>
        <w:spacing w:before="100" w:beforeAutospacing="1" w:after="100" w:afterAutospacing="1" w:line="293" w:lineRule="atLeast"/>
        <w:ind w:left="-993" w:firstLine="300"/>
        <w:rPr>
          <w:rFonts w:ascii="Arial" w:eastAsia="Times New Roman" w:hAnsi="Arial" w:cs="Arial"/>
          <w:color w:val="414142"/>
        </w:rPr>
      </w:pPr>
      <w:r w:rsidRPr="001C5FE1">
        <w:rPr>
          <w:rFonts w:ascii="Arial" w:eastAsia="Times New Roman" w:hAnsi="Arial" w:cs="Arial"/>
          <w:color w:val="414142"/>
        </w:rPr>
        <w:t>Piezīme. * Dokumenta rekvizītus "paraksts" un "datums" neaizpilda, ja elektroniskais dokuments ir sagatavots atbilstoši normatīvajiem aktiem par elektronisko dokumentu noformēšanu.</w:t>
      </w:r>
    </w:p>
    <w:p w:rsidR="001C5FE1" w:rsidRDefault="001C5FE1" w:rsidP="001C5FE1">
      <w:pPr>
        <w:shd w:val="clear" w:color="auto" w:fill="FFFFFF"/>
        <w:spacing w:before="100" w:beforeAutospacing="1" w:after="100" w:afterAutospacing="1" w:line="293" w:lineRule="atLeast"/>
        <w:ind w:firstLine="300"/>
        <w:rPr>
          <w:rFonts w:ascii="Arial" w:eastAsia="Times New Roman" w:hAnsi="Arial" w:cs="Arial"/>
          <w:color w:val="414142"/>
        </w:rPr>
        <w:sectPr w:rsidR="001C5FE1" w:rsidSect="00B73204">
          <w:headerReference w:type="default" r:id="rId80"/>
          <w:pgSz w:w="11906" w:h="16838"/>
          <w:pgMar w:top="567" w:right="566" w:bottom="284" w:left="1800" w:header="426" w:footer="708" w:gutter="0"/>
          <w:cols w:space="708"/>
          <w:docGrid w:linePitch="360"/>
        </w:sectPr>
      </w:pPr>
    </w:p>
    <w:bookmarkStart w:id="76" w:name="piel3"/>
    <w:bookmarkEnd w:id="76"/>
    <w:p w:rsidR="001C5FE1" w:rsidRPr="001C5FE1" w:rsidRDefault="001C5FE1" w:rsidP="001C5FE1">
      <w:pPr>
        <w:shd w:val="clear" w:color="auto" w:fill="FFFFFF"/>
        <w:jc w:val="right"/>
        <w:rPr>
          <w:rFonts w:ascii="Arial" w:eastAsia="Times New Roman" w:hAnsi="Arial" w:cs="Arial"/>
          <w:color w:val="414142"/>
        </w:rPr>
      </w:pPr>
      <w:r w:rsidRPr="001C5FE1">
        <w:rPr>
          <w:rFonts w:ascii="Arial" w:eastAsia="Times New Roman" w:hAnsi="Arial" w:cs="Arial"/>
          <w:color w:val="414142"/>
        </w:rPr>
        <w:lastRenderedPageBreak/>
        <w:fldChar w:fldCharType="begin"/>
      </w:r>
      <w:r w:rsidRPr="001C5FE1">
        <w:rPr>
          <w:rFonts w:ascii="Arial" w:eastAsia="Times New Roman" w:hAnsi="Arial" w:cs="Arial"/>
          <w:color w:val="414142"/>
        </w:rPr>
        <w:instrText xml:space="preserve"> HYPERLINK "http://www.likumi.lv/wwwraksti/2016/140/BILDES/MK481_P3_01.09.2014.DOCX" \o "Atvērt citā formātā" </w:instrText>
      </w:r>
      <w:r w:rsidRPr="001C5FE1">
        <w:rPr>
          <w:rFonts w:ascii="Arial" w:eastAsia="Times New Roman" w:hAnsi="Arial" w:cs="Arial"/>
          <w:color w:val="414142"/>
        </w:rPr>
        <w:fldChar w:fldCharType="separate"/>
      </w:r>
      <w:r w:rsidRPr="001C5FE1">
        <w:rPr>
          <w:rFonts w:ascii="Arial" w:eastAsia="Times New Roman" w:hAnsi="Arial" w:cs="Arial"/>
          <w:color w:val="16497B"/>
        </w:rPr>
        <w:t>3.pielikums</w:t>
      </w:r>
      <w:r w:rsidRPr="001C5FE1">
        <w:rPr>
          <w:rFonts w:ascii="Arial" w:eastAsia="Times New Roman" w:hAnsi="Arial" w:cs="Arial"/>
          <w:color w:val="414142"/>
        </w:rPr>
        <w:fldChar w:fldCharType="end"/>
      </w:r>
      <w:r w:rsidRPr="001C5FE1">
        <w:rPr>
          <w:rFonts w:ascii="Arial" w:eastAsia="Times New Roman" w:hAnsi="Arial" w:cs="Arial"/>
          <w:color w:val="414142"/>
        </w:rPr>
        <w:br/>
        <w:t>Ministru kabineta</w:t>
      </w:r>
      <w:r w:rsidRPr="001C5FE1">
        <w:rPr>
          <w:rFonts w:ascii="Arial" w:eastAsia="Times New Roman" w:hAnsi="Arial" w:cs="Arial"/>
          <w:color w:val="414142"/>
        </w:rPr>
        <w:br/>
        <w:t>Ministru kabineta</w:t>
      </w:r>
      <w:r w:rsidRPr="001C5FE1">
        <w:rPr>
          <w:rFonts w:ascii="Arial" w:eastAsia="Times New Roman" w:hAnsi="Arial" w:cs="Arial"/>
          <w:color w:val="414142"/>
        </w:rPr>
        <w:br/>
        <w:t>2011.gada 27.decembra noteikumiem Nr.1035</w:t>
      </w:r>
    </w:p>
    <w:p w:rsidR="001C5FE1" w:rsidRPr="001C5FE1" w:rsidRDefault="001C5FE1" w:rsidP="001C5FE1">
      <w:pPr>
        <w:shd w:val="clear" w:color="auto" w:fill="FFFFFF"/>
        <w:spacing w:before="45" w:line="248" w:lineRule="atLeast"/>
        <w:ind w:firstLine="300"/>
        <w:jc w:val="right"/>
        <w:rPr>
          <w:rFonts w:ascii="Arial" w:eastAsia="Times New Roman" w:hAnsi="Arial" w:cs="Arial"/>
          <w:i/>
          <w:iCs/>
          <w:color w:val="414142"/>
        </w:rPr>
      </w:pPr>
      <w:r w:rsidRPr="001C5FE1">
        <w:rPr>
          <w:rFonts w:ascii="Arial" w:eastAsia="Times New Roman" w:hAnsi="Arial" w:cs="Arial"/>
          <w:i/>
          <w:iCs/>
          <w:color w:val="414142"/>
        </w:rPr>
        <w:t>(Pielikums MK </w:t>
      </w:r>
      <w:hyperlink r:id="rId81" w:tgtFrame="_blank" w:history="1">
        <w:r w:rsidRPr="001C5FE1">
          <w:rPr>
            <w:rFonts w:ascii="Arial" w:eastAsia="Times New Roman" w:hAnsi="Arial" w:cs="Arial"/>
            <w:i/>
            <w:iCs/>
            <w:color w:val="0000FF"/>
          </w:rPr>
          <w:t>26.08.2014.</w:t>
        </w:r>
      </w:hyperlink>
      <w:r w:rsidRPr="001C5FE1">
        <w:rPr>
          <w:rFonts w:ascii="Arial" w:eastAsia="Times New Roman" w:hAnsi="Arial" w:cs="Arial"/>
          <w:i/>
          <w:iCs/>
          <w:color w:val="414142"/>
        </w:rPr>
        <w:t> noteikumu Nr.510 redakcijā)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62"/>
        <w:gridCol w:w="7983"/>
        <w:gridCol w:w="1961"/>
      </w:tblGrid>
      <w:tr w:rsidR="001C5FE1" w:rsidRPr="001C5FE1" w:rsidTr="001C5FE1">
        <w:tc>
          <w:tcPr>
            <w:tcW w:w="0" w:type="auto"/>
            <w:gridSpan w:val="3"/>
            <w:tcBorders>
              <w:top w:val="outset" w:sz="6" w:space="0" w:color="414142"/>
              <w:left w:val="outset" w:sz="6" w:space="0" w:color="414142"/>
              <w:bottom w:val="single"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b/>
                <w:bCs/>
                <w:color w:val="414142"/>
              </w:rPr>
            </w:pPr>
            <w:r w:rsidRPr="001C5FE1">
              <w:rPr>
                <w:rFonts w:eastAsia="Times New Roman"/>
                <w:b/>
                <w:bCs/>
                <w:color w:val="414142"/>
              </w:rPr>
              <w:t>Pārskats par dotācijas izlietojumu atbilstoši normatīvajos aktos budžeta izdevumu klasifikācijas jomā noteiktajai atlīdzības klasifikācijai</w:t>
            </w:r>
          </w:p>
        </w:tc>
      </w:tr>
      <w:tr w:rsidR="001C5FE1" w:rsidRPr="001C5FE1" w:rsidTr="001C5FE1">
        <w:tc>
          <w:tcPr>
            <w:tcW w:w="4300" w:type="pct"/>
            <w:gridSpan w:val="2"/>
            <w:tcBorders>
              <w:top w:val="outset" w:sz="6" w:space="0" w:color="414142"/>
              <w:left w:val="outset" w:sz="6" w:space="0" w:color="414142"/>
              <w:bottom w:val="nil"/>
              <w:right w:val="nil"/>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700" w:type="pct"/>
            <w:tcBorders>
              <w:top w:val="outset" w:sz="6" w:space="0" w:color="414142"/>
              <w:left w:val="nil"/>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KODI</w:t>
            </w:r>
          </w:p>
        </w:tc>
      </w:tr>
      <w:tr w:rsidR="001C5FE1" w:rsidRPr="001C5FE1" w:rsidTr="001C5FE1">
        <w:tc>
          <w:tcPr>
            <w:tcW w:w="1450" w:type="pct"/>
            <w:tcBorders>
              <w:top w:val="nil"/>
              <w:left w:val="outset" w:sz="6" w:space="0" w:color="414142"/>
              <w:bottom w:val="nil"/>
              <w:right w:val="nil"/>
            </w:tcBorders>
            <w:hideMark/>
          </w:tcPr>
          <w:p w:rsidR="001C5FE1" w:rsidRPr="001C5FE1" w:rsidRDefault="001C5FE1" w:rsidP="001C5FE1">
            <w:pPr>
              <w:rPr>
                <w:rFonts w:eastAsia="Times New Roman"/>
                <w:color w:val="414142"/>
              </w:rPr>
            </w:pPr>
            <w:r w:rsidRPr="001C5FE1">
              <w:rPr>
                <w:rFonts w:eastAsia="Times New Roman"/>
                <w:color w:val="414142"/>
              </w:rPr>
              <w:t>Izglītības iestādes dibinātāja nosaukums</w:t>
            </w:r>
          </w:p>
        </w:tc>
        <w:tc>
          <w:tcPr>
            <w:tcW w:w="2850" w:type="pct"/>
            <w:tcBorders>
              <w:top w:val="nil"/>
              <w:left w:val="nil"/>
              <w:bottom w:val="single"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700" w:type="pct"/>
            <w:tcBorders>
              <w:top w:val="single" w:sz="6" w:space="0" w:color="414142"/>
              <w:left w:val="single" w:sz="6" w:space="0" w:color="414142"/>
              <w:bottom w:val="single" w:sz="6" w:space="0" w:color="414142"/>
              <w:right w:val="single"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r>
      <w:tr w:rsidR="001C5FE1" w:rsidRPr="001C5FE1" w:rsidTr="001C5FE1">
        <w:tc>
          <w:tcPr>
            <w:tcW w:w="1450" w:type="pct"/>
            <w:tcBorders>
              <w:top w:val="nil"/>
              <w:left w:val="outset" w:sz="6" w:space="0" w:color="414142"/>
              <w:bottom w:val="nil"/>
              <w:right w:val="nil"/>
            </w:tcBorders>
            <w:hideMark/>
          </w:tcPr>
          <w:p w:rsidR="001C5FE1" w:rsidRPr="001C5FE1" w:rsidRDefault="001C5FE1" w:rsidP="001C5FE1">
            <w:pPr>
              <w:rPr>
                <w:rFonts w:eastAsia="Times New Roman"/>
                <w:color w:val="414142"/>
              </w:rPr>
            </w:pPr>
            <w:r w:rsidRPr="001C5FE1">
              <w:rPr>
                <w:rFonts w:eastAsia="Times New Roman"/>
                <w:color w:val="414142"/>
              </w:rPr>
              <w:t>Izglītības iestādes dibinātāja reģistrācijas numurs</w:t>
            </w:r>
          </w:p>
        </w:tc>
        <w:tc>
          <w:tcPr>
            <w:tcW w:w="2850" w:type="pct"/>
            <w:tcBorders>
              <w:top w:val="outset" w:sz="6" w:space="0" w:color="414142"/>
              <w:left w:val="nil"/>
              <w:bottom w:val="single"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700" w:type="pct"/>
            <w:tcBorders>
              <w:top w:val="single" w:sz="6" w:space="0" w:color="414142"/>
              <w:left w:val="single" w:sz="6" w:space="0" w:color="414142"/>
              <w:bottom w:val="single" w:sz="6" w:space="0" w:color="414142"/>
              <w:right w:val="single"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r>
      <w:tr w:rsidR="001C5FE1" w:rsidRPr="001C5FE1" w:rsidTr="001C5FE1">
        <w:tc>
          <w:tcPr>
            <w:tcW w:w="1450" w:type="pct"/>
            <w:tcBorders>
              <w:top w:val="nil"/>
              <w:left w:val="outset" w:sz="6" w:space="0" w:color="414142"/>
              <w:bottom w:val="nil"/>
              <w:right w:val="nil"/>
            </w:tcBorders>
            <w:hideMark/>
          </w:tcPr>
          <w:p w:rsidR="001C5FE1" w:rsidRPr="001C5FE1" w:rsidRDefault="001C5FE1" w:rsidP="001C5FE1">
            <w:pPr>
              <w:rPr>
                <w:rFonts w:eastAsia="Times New Roman"/>
                <w:color w:val="414142"/>
              </w:rPr>
            </w:pPr>
            <w:r w:rsidRPr="001C5FE1">
              <w:rPr>
                <w:rFonts w:eastAsia="Times New Roman"/>
                <w:color w:val="414142"/>
              </w:rPr>
              <w:t>Pārskata gads</w:t>
            </w:r>
          </w:p>
        </w:tc>
        <w:tc>
          <w:tcPr>
            <w:tcW w:w="2850" w:type="pct"/>
            <w:tcBorders>
              <w:top w:val="outset" w:sz="6" w:space="0" w:color="414142"/>
              <w:left w:val="nil"/>
              <w:bottom w:val="single"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700" w:type="pct"/>
            <w:tcBorders>
              <w:top w:val="single" w:sz="6" w:space="0" w:color="414142"/>
              <w:left w:val="single" w:sz="6" w:space="0" w:color="414142"/>
              <w:bottom w:val="single" w:sz="6" w:space="0" w:color="414142"/>
              <w:right w:val="single"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r>
      <w:tr w:rsidR="001C5FE1" w:rsidRPr="001C5FE1" w:rsidTr="001C5FE1">
        <w:tc>
          <w:tcPr>
            <w:tcW w:w="1450" w:type="pct"/>
            <w:tcBorders>
              <w:top w:val="nil"/>
              <w:left w:val="outset" w:sz="6" w:space="0" w:color="414142"/>
              <w:bottom w:val="outset" w:sz="6" w:space="0" w:color="414142"/>
              <w:right w:val="nil"/>
            </w:tcBorders>
            <w:hideMark/>
          </w:tcPr>
          <w:p w:rsidR="001C5FE1" w:rsidRPr="001C5FE1" w:rsidRDefault="001C5FE1" w:rsidP="001C5FE1">
            <w:pPr>
              <w:rPr>
                <w:rFonts w:eastAsia="Times New Roman"/>
                <w:color w:val="414142"/>
              </w:rPr>
            </w:pPr>
            <w:r w:rsidRPr="001C5FE1">
              <w:rPr>
                <w:rFonts w:eastAsia="Times New Roman"/>
                <w:color w:val="414142"/>
              </w:rPr>
              <w:t>Pārskata periods</w:t>
            </w:r>
          </w:p>
        </w:tc>
        <w:tc>
          <w:tcPr>
            <w:tcW w:w="2850" w:type="pct"/>
            <w:tcBorders>
              <w:top w:val="outset" w:sz="6" w:space="0" w:color="414142"/>
              <w:left w:val="nil"/>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700" w:type="pct"/>
            <w:tcBorders>
              <w:top w:val="single" w:sz="6" w:space="0" w:color="414142"/>
              <w:left w:val="single" w:sz="6" w:space="0" w:color="414142"/>
              <w:bottom w:val="single" w:sz="6" w:space="0" w:color="414142"/>
              <w:right w:val="single"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r>
    </w:tbl>
    <w:p w:rsidR="001C5FE1" w:rsidRPr="001C5FE1" w:rsidRDefault="001C5FE1" w:rsidP="001C5FE1">
      <w:pPr>
        <w:shd w:val="clear" w:color="auto" w:fill="FFFFFF"/>
        <w:spacing w:before="100" w:beforeAutospacing="1" w:after="100" w:afterAutospacing="1" w:line="293" w:lineRule="atLeast"/>
        <w:ind w:firstLine="300"/>
        <w:jc w:val="right"/>
        <w:rPr>
          <w:rFonts w:ascii="Arial" w:eastAsia="Times New Roman" w:hAnsi="Arial" w:cs="Arial"/>
          <w:i/>
          <w:iCs/>
          <w:color w:val="414142"/>
        </w:rPr>
      </w:pPr>
      <w:r w:rsidRPr="001C5FE1">
        <w:rPr>
          <w:rFonts w:ascii="Arial" w:eastAsia="Times New Roman" w:hAnsi="Arial" w:cs="Arial"/>
          <w:i/>
          <w:iCs/>
          <w:color w:val="414142"/>
        </w:rPr>
        <w:t>(</w:t>
      </w:r>
      <w:proofErr w:type="spellStart"/>
      <w:r w:rsidRPr="001C5FE1">
        <w:rPr>
          <w:rFonts w:ascii="Arial" w:eastAsia="Times New Roman" w:hAnsi="Arial" w:cs="Arial"/>
          <w:i/>
          <w:iCs/>
          <w:color w:val="414142"/>
        </w:rPr>
        <w:t>euro</w:t>
      </w:r>
      <w:proofErr w:type="spellEnd"/>
      <w:r w:rsidRPr="001C5FE1">
        <w:rPr>
          <w:rFonts w:ascii="Arial" w:eastAsia="Times New Roman" w:hAnsi="Arial" w:cs="Arial"/>
          <w:i/>
          <w:iCs/>
          <w:color w:val="414142"/>
        </w:rPr>
        <w:t>)</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4"/>
        <w:gridCol w:w="626"/>
        <w:gridCol w:w="648"/>
        <w:gridCol w:w="982"/>
        <w:gridCol w:w="1048"/>
        <w:gridCol w:w="715"/>
        <w:gridCol w:w="722"/>
        <w:gridCol w:w="1059"/>
        <w:gridCol w:w="915"/>
        <w:gridCol w:w="1015"/>
        <w:gridCol w:w="715"/>
        <w:gridCol w:w="615"/>
        <w:gridCol w:w="1177"/>
        <w:gridCol w:w="1259"/>
        <w:gridCol w:w="857"/>
        <w:gridCol w:w="759"/>
      </w:tblGrid>
      <w:tr w:rsidR="001C5FE1" w:rsidRPr="001C5FE1" w:rsidTr="001C5FE1">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Izglītības iestāde</w:t>
            </w:r>
          </w:p>
        </w:tc>
        <w:tc>
          <w:tcPr>
            <w:tcW w:w="4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Noslēgtā finansēšanas līguma</w:t>
            </w:r>
          </w:p>
        </w:tc>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Izglītības programmu grupas nosaukums</w:t>
            </w:r>
          </w:p>
        </w:tc>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Izglītības programmas kods (10V, 20V, 30V)</w:t>
            </w:r>
          </w:p>
        </w:tc>
        <w:tc>
          <w:tcPr>
            <w:tcW w:w="900" w:type="pct"/>
            <w:gridSpan w:val="3"/>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Finansēts no valsts budžeta līdzekļiem</w:t>
            </w:r>
          </w:p>
        </w:tc>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Finanšu līdzekļu atlikums no iepriekšējā perioda</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Pārskata periodā saņemtais valsts finansējums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Kopā finanšu līdzekļi pārskata periodā</w:t>
            </w:r>
            <w:r w:rsidRPr="001C5FE1">
              <w:rPr>
                <w:rFonts w:eastAsia="Times New Roman"/>
                <w:color w:val="414142"/>
              </w:rPr>
              <w:br/>
              <w:t>(4.+5.)</w:t>
            </w:r>
          </w:p>
        </w:tc>
        <w:tc>
          <w:tcPr>
            <w:tcW w:w="1450"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Izdevumi pārskata periodā</w:t>
            </w:r>
          </w:p>
        </w:tc>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Līdzekļu atlikums uz pārskata perioda beigām</w:t>
            </w:r>
            <w:r w:rsidRPr="001C5FE1">
              <w:rPr>
                <w:rFonts w:eastAsia="Times New Roman"/>
                <w:color w:val="414142"/>
              </w:rPr>
              <w:br/>
              <w:t>(6.–10.)</w:t>
            </w:r>
          </w:p>
        </w:tc>
      </w:tr>
      <w:tr w:rsidR="001C5FE1" w:rsidRPr="001C5FE1" w:rsidTr="001C5F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550" w:type="pct"/>
            <w:gridSpan w:val="2"/>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audzēkņu skaits</w:t>
            </w:r>
          </w:p>
        </w:tc>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faktiski apmaksāto pedagoģisko likmju skaits</w:t>
            </w:r>
            <w:r w:rsidRPr="001C5FE1">
              <w:rPr>
                <w:rFonts w:eastAsia="Times New Roman"/>
                <w:color w:val="414142"/>
              </w:rPr>
              <w:br/>
              <w:t>(pārskata periodā vidēji mēnesī)</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r>
      <w:tr w:rsidR="001C5FE1" w:rsidRPr="001C5FE1" w:rsidTr="001C5FE1">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datums</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numurs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pārskata perioda sākumā</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pārskata perioda beigās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darba alga</w:t>
            </w:r>
            <w:r w:rsidRPr="001C5FE1">
              <w:rPr>
                <w:rFonts w:eastAsia="Times New Roman"/>
                <w:color w:val="414142"/>
              </w:rPr>
              <w:br/>
              <w:t>(EKK 1119)</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piemaksa pedagogiem, kas saņēmuši 3., 4. un 5. kvalitātes pakāpi</w:t>
            </w:r>
            <w:r w:rsidRPr="001C5FE1">
              <w:rPr>
                <w:rFonts w:eastAsia="Times New Roman"/>
                <w:color w:val="414142"/>
              </w:rPr>
              <w:br/>
              <w:t>(EKK 1146)</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darba devēja valsts sociālās apdrošināšanas obligātās iemaksas</w:t>
            </w:r>
            <w:r w:rsidRPr="001C5FE1">
              <w:rPr>
                <w:rFonts w:eastAsia="Times New Roman"/>
                <w:color w:val="414142"/>
              </w:rPr>
              <w:br/>
              <w:t>(EKK 1210)</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kopā</w:t>
            </w:r>
            <w:r w:rsidRPr="001C5FE1">
              <w:rPr>
                <w:rFonts w:eastAsia="Times New Roman"/>
                <w:color w:val="414142"/>
              </w:rPr>
              <w:br/>
              <w:t>(7.+8.+9.)</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p>
        </w:tc>
      </w:tr>
      <w:tr w:rsidR="001C5FE1" w:rsidRPr="001C5FE1" w:rsidTr="001C5FE1">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A</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B</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C</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D</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E</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1</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2</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3</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4</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5</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6</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8</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9</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10</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spacing w:before="100" w:beforeAutospacing="1" w:after="100" w:afterAutospacing="1" w:line="293" w:lineRule="atLeast"/>
              <w:jc w:val="center"/>
              <w:rPr>
                <w:rFonts w:eastAsia="Times New Roman"/>
                <w:color w:val="414142"/>
              </w:rPr>
            </w:pPr>
            <w:r w:rsidRPr="001C5FE1">
              <w:rPr>
                <w:rFonts w:eastAsia="Times New Roman"/>
                <w:color w:val="414142"/>
              </w:rPr>
              <w:t>11</w:t>
            </w:r>
          </w:p>
        </w:tc>
      </w:tr>
      <w:tr w:rsidR="001C5FE1" w:rsidRPr="001C5FE1" w:rsidTr="001C5FE1">
        <w:trPr>
          <w:trHeight w:val="300"/>
        </w:trPr>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r>
      <w:tr w:rsidR="001C5FE1" w:rsidRPr="001C5FE1" w:rsidTr="001C5FE1">
        <w:trPr>
          <w:trHeight w:val="300"/>
        </w:trPr>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2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1C5FE1" w:rsidRPr="001C5FE1" w:rsidRDefault="001C5FE1" w:rsidP="001C5FE1">
            <w:pPr>
              <w:rPr>
                <w:rFonts w:eastAsia="Times New Roman"/>
                <w:color w:val="414142"/>
              </w:rPr>
            </w:pPr>
            <w:r w:rsidRPr="001C5FE1">
              <w:rPr>
                <w:rFonts w:eastAsia="Times New Roman"/>
                <w:color w:val="414142"/>
              </w:rPr>
              <w:t> </w:t>
            </w:r>
          </w:p>
        </w:tc>
        <w:tc>
          <w:tcPr>
            <w:tcW w:w="0" w:type="auto"/>
            <w:vAlign w:val="center"/>
            <w:hideMark/>
          </w:tcPr>
          <w:p w:rsidR="001C5FE1" w:rsidRPr="001C5FE1" w:rsidRDefault="001C5FE1" w:rsidP="001C5FE1">
            <w:pPr>
              <w:rPr>
                <w:rFonts w:eastAsia="Times New Roman"/>
              </w:rPr>
            </w:pPr>
          </w:p>
        </w:tc>
        <w:tc>
          <w:tcPr>
            <w:tcW w:w="0" w:type="auto"/>
            <w:vAlign w:val="center"/>
            <w:hideMark/>
          </w:tcPr>
          <w:p w:rsidR="001C5FE1" w:rsidRPr="001C5FE1" w:rsidRDefault="001C5FE1" w:rsidP="001C5FE1">
            <w:pPr>
              <w:rPr>
                <w:rFonts w:eastAsia="Times New Roman"/>
              </w:rPr>
            </w:pPr>
          </w:p>
        </w:tc>
        <w:tc>
          <w:tcPr>
            <w:tcW w:w="0" w:type="auto"/>
            <w:vAlign w:val="center"/>
            <w:hideMark/>
          </w:tcPr>
          <w:p w:rsidR="001C5FE1" w:rsidRPr="001C5FE1" w:rsidRDefault="001C5FE1" w:rsidP="001C5FE1">
            <w:pPr>
              <w:rPr>
                <w:rFonts w:eastAsia="Times New Roman"/>
              </w:rPr>
            </w:pPr>
          </w:p>
        </w:tc>
      </w:tr>
    </w:tbl>
    <w:p w:rsidR="00C7602E" w:rsidRDefault="00C7602E"/>
    <w:sectPr w:rsidR="00C7602E" w:rsidSect="00B73204">
      <w:pgSz w:w="16838" w:h="11906" w:orient="landscape"/>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9B" w:rsidRDefault="00C60E9B" w:rsidP="00B73204">
      <w:r>
        <w:separator/>
      </w:r>
    </w:p>
  </w:endnote>
  <w:endnote w:type="continuationSeparator" w:id="0">
    <w:p w:rsidR="00C60E9B" w:rsidRDefault="00C60E9B" w:rsidP="00B7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9B" w:rsidRDefault="00C60E9B" w:rsidP="00B73204">
      <w:r>
        <w:separator/>
      </w:r>
    </w:p>
  </w:footnote>
  <w:footnote w:type="continuationSeparator" w:id="0">
    <w:p w:rsidR="00C60E9B" w:rsidRDefault="00C60E9B" w:rsidP="00B7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4" w:rsidRDefault="00B73204" w:rsidP="00B73204">
    <w:pPr>
      <w:shd w:val="clear" w:color="auto" w:fill="FFFFFF"/>
      <w:spacing w:before="100" w:beforeAutospacing="1" w:after="100" w:afterAutospacing="1" w:line="293" w:lineRule="atLeast"/>
      <w:jc w:val="both"/>
    </w:pPr>
    <w:r w:rsidRPr="00FD61BB">
      <w:rPr>
        <w:rFonts w:ascii="Arial" w:eastAsia="Times New Roman" w:hAnsi="Arial" w:cs="Arial"/>
        <w:b/>
        <w:bCs/>
        <w:color w:val="414142"/>
      </w:rPr>
      <w:t xml:space="preserve">Ministru kabineta </w:t>
    </w:r>
    <w:r>
      <w:rPr>
        <w:rFonts w:ascii="Arial" w:eastAsia="Times New Roman" w:hAnsi="Arial" w:cs="Arial"/>
        <w:b/>
        <w:bCs/>
        <w:color w:val="414142"/>
      </w:rPr>
      <w:t xml:space="preserve">15.07.2016. </w:t>
    </w:r>
    <w:r w:rsidRPr="00FD61BB">
      <w:rPr>
        <w:rFonts w:ascii="Arial" w:eastAsia="Times New Roman" w:hAnsi="Arial" w:cs="Arial"/>
        <w:b/>
        <w:bCs/>
        <w:color w:val="414142"/>
      </w:rPr>
      <w:t>noteikumi Nr. 481</w:t>
    </w:r>
    <w:r>
      <w:rPr>
        <w:rFonts w:ascii="Arial" w:eastAsia="Times New Roman" w:hAnsi="Arial" w:cs="Arial"/>
        <w:b/>
        <w:bCs/>
        <w:color w:val="414142"/>
      </w:rPr>
      <w:t xml:space="preserve"> “</w:t>
    </w:r>
    <w:r w:rsidRPr="00FD61BB">
      <w:rPr>
        <w:rFonts w:ascii="Arial" w:eastAsia="Times New Roman" w:hAnsi="Arial" w:cs="Arial"/>
        <w:b/>
        <w:bCs/>
        <w:color w:val="414142"/>
      </w:rPr>
      <w:t>Grozījumi Ministru kabineta 2011. gada 27. decembra noteikumos Nr. 1035 "</w:t>
    </w:r>
    <w:hyperlink r:id="rId1" w:tgtFrame="_blank" w:history="1">
      <w:r w:rsidRPr="00FD61BB">
        <w:rPr>
          <w:rFonts w:ascii="Arial" w:eastAsia="Times New Roman" w:hAnsi="Arial" w:cs="Arial"/>
          <w:b/>
          <w:bCs/>
          <w:color w:val="414142"/>
        </w:rPr>
        <w:t>Kārtība, kādā valsts finansē profesionālās ievirzes mākslas, mūzikas un dejas izglītības programmas</w:t>
      </w:r>
    </w:hyperlink>
    <w:r w:rsidRPr="00FD61BB">
      <w:rPr>
        <w:rFonts w:ascii="Arial" w:eastAsia="Times New Roman" w:hAnsi="Arial" w:cs="Arial"/>
        <w:b/>
        <w:bCs/>
        <w:color w:val="414142"/>
      </w:rPr>
      <w:t>"</w:t>
    </w:r>
    <w:r w:rsidRPr="00690D24">
      <w:rPr>
        <w:rFonts w:ascii="Arial" w:eastAsia="Times New Roman" w:hAnsi="Arial" w:cs="Arial"/>
        <w:b/>
        <w:bCs/>
        <w:color w:val="414142"/>
      </w:rPr>
      <w:t>”</w:t>
    </w:r>
    <w:r w:rsidRPr="00B73204">
      <w:t xml:space="preserve"> </w:t>
    </w:r>
    <w:r w:rsidRPr="00B73204">
      <w:rPr>
        <w:b/>
        <w:color w:val="FF0000"/>
      </w:rPr>
      <w:t>Grozījumi stājas spēkā 01.01.2017.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E1"/>
    <w:rsid w:val="00074015"/>
    <w:rsid w:val="001C5FE1"/>
    <w:rsid w:val="003F0536"/>
    <w:rsid w:val="005D42FA"/>
    <w:rsid w:val="00A041C6"/>
    <w:rsid w:val="00B73204"/>
    <w:rsid w:val="00C60E9B"/>
    <w:rsid w:val="00C7602E"/>
    <w:rsid w:val="00E26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73204"/>
    <w:pPr>
      <w:tabs>
        <w:tab w:val="center" w:pos="4153"/>
        <w:tab w:val="right" w:pos="8306"/>
      </w:tabs>
    </w:pPr>
  </w:style>
  <w:style w:type="character" w:customStyle="1" w:styleId="GalveneRakstz">
    <w:name w:val="Galvene Rakstz."/>
    <w:basedOn w:val="Noklusjumarindkopasfonts"/>
    <w:link w:val="Galvene"/>
    <w:uiPriority w:val="99"/>
    <w:rsid w:val="00B73204"/>
    <w:rPr>
      <w:lang w:eastAsia="lv-LV"/>
    </w:rPr>
  </w:style>
  <w:style w:type="paragraph" w:styleId="Kjene">
    <w:name w:val="footer"/>
    <w:basedOn w:val="Parasts"/>
    <w:link w:val="KjeneRakstz"/>
    <w:uiPriority w:val="99"/>
    <w:unhideWhenUsed/>
    <w:rsid w:val="00B73204"/>
    <w:pPr>
      <w:tabs>
        <w:tab w:val="center" w:pos="4153"/>
        <w:tab w:val="right" w:pos="8306"/>
      </w:tabs>
    </w:pPr>
  </w:style>
  <w:style w:type="character" w:customStyle="1" w:styleId="KjeneRakstz">
    <w:name w:val="Kājene Rakstz."/>
    <w:basedOn w:val="Noklusjumarindkopasfonts"/>
    <w:link w:val="Kjene"/>
    <w:uiPriority w:val="99"/>
    <w:rsid w:val="00B73204"/>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73204"/>
    <w:pPr>
      <w:tabs>
        <w:tab w:val="center" w:pos="4153"/>
        <w:tab w:val="right" w:pos="8306"/>
      </w:tabs>
    </w:pPr>
  </w:style>
  <w:style w:type="character" w:customStyle="1" w:styleId="GalveneRakstz">
    <w:name w:val="Galvene Rakstz."/>
    <w:basedOn w:val="Noklusjumarindkopasfonts"/>
    <w:link w:val="Galvene"/>
    <w:uiPriority w:val="99"/>
    <w:rsid w:val="00B73204"/>
    <w:rPr>
      <w:lang w:eastAsia="lv-LV"/>
    </w:rPr>
  </w:style>
  <w:style w:type="paragraph" w:styleId="Kjene">
    <w:name w:val="footer"/>
    <w:basedOn w:val="Parasts"/>
    <w:link w:val="KjeneRakstz"/>
    <w:uiPriority w:val="99"/>
    <w:unhideWhenUsed/>
    <w:rsid w:val="00B73204"/>
    <w:pPr>
      <w:tabs>
        <w:tab w:val="center" w:pos="4153"/>
        <w:tab w:val="right" w:pos="8306"/>
      </w:tabs>
    </w:pPr>
  </w:style>
  <w:style w:type="character" w:customStyle="1" w:styleId="KjeneRakstz">
    <w:name w:val="Kājene Rakstz."/>
    <w:basedOn w:val="Noklusjumarindkopasfonts"/>
    <w:link w:val="Kjene"/>
    <w:uiPriority w:val="99"/>
    <w:rsid w:val="00B73204"/>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7115">
      <w:bodyDiv w:val="1"/>
      <w:marLeft w:val="0"/>
      <w:marRight w:val="0"/>
      <w:marTop w:val="0"/>
      <w:marBottom w:val="0"/>
      <w:divBdr>
        <w:top w:val="none" w:sz="0" w:space="0" w:color="auto"/>
        <w:left w:val="none" w:sz="0" w:space="0" w:color="auto"/>
        <w:bottom w:val="none" w:sz="0" w:space="0" w:color="auto"/>
        <w:right w:val="none" w:sz="0" w:space="0" w:color="auto"/>
      </w:divBdr>
      <w:divsChild>
        <w:div w:id="5862573">
          <w:marLeft w:val="0"/>
          <w:marRight w:val="0"/>
          <w:marTop w:val="480"/>
          <w:marBottom w:val="240"/>
          <w:divBdr>
            <w:top w:val="none" w:sz="0" w:space="0" w:color="auto"/>
            <w:left w:val="none" w:sz="0" w:space="0" w:color="auto"/>
            <w:bottom w:val="none" w:sz="0" w:space="0" w:color="auto"/>
            <w:right w:val="none" w:sz="0" w:space="0" w:color="auto"/>
          </w:divBdr>
        </w:div>
        <w:div w:id="1012563938">
          <w:marLeft w:val="0"/>
          <w:marRight w:val="0"/>
          <w:marTop w:val="0"/>
          <w:marBottom w:val="567"/>
          <w:divBdr>
            <w:top w:val="none" w:sz="0" w:space="0" w:color="auto"/>
            <w:left w:val="none" w:sz="0" w:space="0" w:color="auto"/>
            <w:bottom w:val="none" w:sz="0" w:space="0" w:color="auto"/>
            <w:right w:val="none" w:sz="0" w:space="0" w:color="auto"/>
          </w:divBdr>
        </w:div>
        <w:div w:id="801268360">
          <w:marLeft w:val="0"/>
          <w:marRight w:val="0"/>
          <w:marTop w:val="0"/>
          <w:marBottom w:val="567"/>
          <w:divBdr>
            <w:top w:val="none" w:sz="0" w:space="0" w:color="auto"/>
            <w:left w:val="none" w:sz="0" w:space="0" w:color="auto"/>
            <w:bottom w:val="none" w:sz="0" w:space="0" w:color="auto"/>
            <w:right w:val="none" w:sz="0" w:space="0" w:color="auto"/>
          </w:divBdr>
        </w:div>
        <w:div w:id="658658044">
          <w:marLeft w:val="0"/>
          <w:marRight w:val="0"/>
          <w:marTop w:val="0"/>
          <w:marBottom w:val="0"/>
          <w:divBdr>
            <w:top w:val="none" w:sz="0" w:space="0" w:color="auto"/>
            <w:left w:val="none" w:sz="0" w:space="0" w:color="auto"/>
            <w:bottom w:val="none" w:sz="0" w:space="0" w:color="auto"/>
            <w:right w:val="none" w:sz="0" w:space="0" w:color="auto"/>
          </w:divBdr>
        </w:div>
        <w:div w:id="609894056">
          <w:marLeft w:val="0"/>
          <w:marRight w:val="0"/>
          <w:marTop w:val="0"/>
          <w:marBottom w:val="0"/>
          <w:divBdr>
            <w:top w:val="none" w:sz="0" w:space="0" w:color="auto"/>
            <w:left w:val="none" w:sz="0" w:space="0" w:color="auto"/>
            <w:bottom w:val="none" w:sz="0" w:space="0" w:color="auto"/>
            <w:right w:val="none" w:sz="0" w:space="0" w:color="auto"/>
          </w:divBdr>
        </w:div>
        <w:div w:id="1499151324">
          <w:marLeft w:val="0"/>
          <w:marRight w:val="0"/>
          <w:marTop w:val="0"/>
          <w:marBottom w:val="0"/>
          <w:divBdr>
            <w:top w:val="none" w:sz="0" w:space="0" w:color="auto"/>
            <w:left w:val="none" w:sz="0" w:space="0" w:color="auto"/>
            <w:bottom w:val="none" w:sz="0" w:space="0" w:color="auto"/>
            <w:right w:val="none" w:sz="0" w:space="0" w:color="auto"/>
          </w:divBdr>
        </w:div>
        <w:div w:id="1975871427">
          <w:marLeft w:val="0"/>
          <w:marRight w:val="0"/>
          <w:marTop w:val="0"/>
          <w:marBottom w:val="0"/>
          <w:divBdr>
            <w:top w:val="none" w:sz="0" w:space="0" w:color="auto"/>
            <w:left w:val="none" w:sz="0" w:space="0" w:color="auto"/>
            <w:bottom w:val="none" w:sz="0" w:space="0" w:color="auto"/>
            <w:right w:val="none" w:sz="0" w:space="0" w:color="auto"/>
          </w:divBdr>
        </w:div>
        <w:div w:id="1274751516">
          <w:marLeft w:val="0"/>
          <w:marRight w:val="0"/>
          <w:marTop w:val="0"/>
          <w:marBottom w:val="0"/>
          <w:divBdr>
            <w:top w:val="none" w:sz="0" w:space="0" w:color="auto"/>
            <w:left w:val="none" w:sz="0" w:space="0" w:color="auto"/>
            <w:bottom w:val="none" w:sz="0" w:space="0" w:color="auto"/>
            <w:right w:val="none" w:sz="0" w:space="0" w:color="auto"/>
          </w:divBdr>
        </w:div>
        <w:div w:id="264190698">
          <w:marLeft w:val="0"/>
          <w:marRight w:val="0"/>
          <w:marTop w:val="0"/>
          <w:marBottom w:val="0"/>
          <w:divBdr>
            <w:top w:val="none" w:sz="0" w:space="0" w:color="auto"/>
            <w:left w:val="none" w:sz="0" w:space="0" w:color="auto"/>
            <w:bottom w:val="none" w:sz="0" w:space="0" w:color="auto"/>
            <w:right w:val="none" w:sz="0" w:space="0" w:color="auto"/>
          </w:divBdr>
        </w:div>
        <w:div w:id="1023897910">
          <w:marLeft w:val="0"/>
          <w:marRight w:val="0"/>
          <w:marTop w:val="0"/>
          <w:marBottom w:val="0"/>
          <w:divBdr>
            <w:top w:val="none" w:sz="0" w:space="0" w:color="auto"/>
            <w:left w:val="none" w:sz="0" w:space="0" w:color="auto"/>
            <w:bottom w:val="none" w:sz="0" w:space="0" w:color="auto"/>
            <w:right w:val="none" w:sz="0" w:space="0" w:color="auto"/>
          </w:divBdr>
        </w:div>
        <w:div w:id="1588222162">
          <w:marLeft w:val="0"/>
          <w:marRight w:val="0"/>
          <w:marTop w:val="0"/>
          <w:marBottom w:val="0"/>
          <w:divBdr>
            <w:top w:val="none" w:sz="0" w:space="0" w:color="auto"/>
            <w:left w:val="none" w:sz="0" w:space="0" w:color="auto"/>
            <w:bottom w:val="none" w:sz="0" w:space="0" w:color="auto"/>
            <w:right w:val="none" w:sz="0" w:space="0" w:color="auto"/>
          </w:divBdr>
        </w:div>
        <w:div w:id="344748530">
          <w:marLeft w:val="0"/>
          <w:marRight w:val="0"/>
          <w:marTop w:val="0"/>
          <w:marBottom w:val="0"/>
          <w:divBdr>
            <w:top w:val="none" w:sz="0" w:space="0" w:color="auto"/>
            <w:left w:val="none" w:sz="0" w:space="0" w:color="auto"/>
            <w:bottom w:val="none" w:sz="0" w:space="0" w:color="auto"/>
            <w:right w:val="none" w:sz="0" w:space="0" w:color="auto"/>
          </w:divBdr>
        </w:div>
        <w:div w:id="1962877461">
          <w:marLeft w:val="0"/>
          <w:marRight w:val="0"/>
          <w:marTop w:val="0"/>
          <w:marBottom w:val="0"/>
          <w:divBdr>
            <w:top w:val="none" w:sz="0" w:space="0" w:color="auto"/>
            <w:left w:val="none" w:sz="0" w:space="0" w:color="auto"/>
            <w:bottom w:val="none" w:sz="0" w:space="0" w:color="auto"/>
            <w:right w:val="none" w:sz="0" w:space="0" w:color="auto"/>
          </w:divBdr>
        </w:div>
        <w:div w:id="280263788">
          <w:marLeft w:val="0"/>
          <w:marRight w:val="0"/>
          <w:marTop w:val="0"/>
          <w:marBottom w:val="0"/>
          <w:divBdr>
            <w:top w:val="none" w:sz="0" w:space="0" w:color="auto"/>
            <w:left w:val="none" w:sz="0" w:space="0" w:color="auto"/>
            <w:bottom w:val="none" w:sz="0" w:space="0" w:color="auto"/>
            <w:right w:val="none" w:sz="0" w:space="0" w:color="auto"/>
          </w:divBdr>
        </w:div>
        <w:div w:id="1914773819">
          <w:marLeft w:val="0"/>
          <w:marRight w:val="0"/>
          <w:marTop w:val="0"/>
          <w:marBottom w:val="0"/>
          <w:divBdr>
            <w:top w:val="none" w:sz="0" w:space="0" w:color="auto"/>
            <w:left w:val="none" w:sz="0" w:space="0" w:color="auto"/>
            <w:bottom w:val="none" w:sz="0" w:space="0" w:color="auto"/>
            <w:right w:val="none" w:sz="0" w:space="0" w:color="auto"/>
          </w:divBdr>
        </w:div>
        <w:div w:id="92820083">
          <w:marLeft w:val="0"/>
          <w:marRight w:val="0"/>
          <w:marTop w:val="240"/>
          <w:marBottom w:val="0"/>
          <w:divBdr>
            <w:top w:val="none" w:sz="0" w:space="0" w:color="auto"/>
            <w:left w:val="none" w:sz="0" w:space="0" w:color="auto"/>
            <w:bottom w:val="none" w:sz="0" w:space="0" w:color="auto"/>
            <w:right w:val="none" w:sz="0" w:space="0" w:color="auto"/>
          </w:divBdr>
        </w:div>
        <w:div w:id="436483028">
          <w:marLeft w:val="0"/>
          <w:marRight w:val="0"/>
          <w:marTop w:val="0"/>
          <w:marBottom w:val="0"/>
          <w:divBdr>
            <w:top w:val="none" w:sz="0" w:space="0" w:color="auto"/>
            <w:left w:val="none" w:sz="0" w:space="0" w:color="auto"/>
            <w:bottom w:val="none" w:sz="0" w:space="0" w:color="auto"/>
            <w:right w:val="none" w:sz="0" w:space="0" w:color="auto"/>
          </w:divBdr>
        </w:div>
        <w:div w:id="1744716902">
          <w:marLeft w:val="0"/>
          <w:marRight w:val="0"/>
          <w:marTop w:val="0"/>
          <w:marBottom w:val="0"/>
          <w:divBdr>
            <w:top w:val="none" w:sz="0" w:space="0" w:color="auto"/>
            <w:left w:val="none" w:sz="0" w:space="0" w:color="auto"/>
            <w:bottom w:val="none" w:sz="0" w:space="0" w:color="auto"/>
            <w:right w:val="none" w:sz="0" w:space="0" w:color="auto"/>
          </w:divBdr>
        </w:div>
        <w:div w:id="471337155">
          <w:marLeft w:val="0"/>
          <w:marRight w:val="0"/>
          <w:marTop w:val="0"/>
          <w:marBottom w:val="0"/>
          <w:divBdr>
            <w:top w:val="none" w:sz="0" w:space="0" w:color="auto"/>
            <w:left w:val="none" w:sz="0" w:space="0" w:color="auto"/>
            <w:bottom w:val="none" w:sz="0" w:space="0" w:color="auto"/>
            <w:right w:val="none" w:sz="0" w:space="0" w:color="auto"/>
          </w:divBdr>
        </w:div>
        <w:div w:id="941955284">
          <w:marLeft w:val="0"/>
          <w:marRight w:val="0"/>
          <w:marTop w:val="0"/>
          <w:marBottom w:val="0"/>
          <w:divBdr>
            <w:top w:val="none" w:sz="0" w:space="0" w:color="auto"/>
            <w:left w:val="none" w:sz="0" w:space="0" w:color="auto"/>
            <w:bottom w:val="none" w:sz="0" w:space="0" w:color="auto"/>
            <w:right w:val="none" w:sz="0" w:space="0" w:color="auto"/>
          </w:divBdr>
        </w:div>
        <w:div w:id="263806316">
          <w:marLeft w:val="0"/>
          <w:marRight w:val="0"/>
          <w:marTop w:val="0"/>
          <w:marBottom w:val="0"/>
          <w:divBdr>
            <w:top w:val="none" w:sz="0" w:space="0" w:color="auto"/>
            <w:left w:val="none" w:sz="0" w:space="0" w:color="auto"/>
            <w:bottom w:val="none" w:sz="0" w:space="0" w:color="auto"/>
            <w:right w:val="none" w:sz="0" w:space="0" w:color="auto"/>
          </w:divBdr>
        </w:div>
        <w:div w:id="462968163">
          <w:marLeft w:val="0"/>
          <w:marRight w:val="0"/>
          <w:marTop w:val="0"/>
          <w:marBottom w:val="0"/>
          <w:divBdr>
            <w:top w:val="none" w:sz="0" w:space="0" w:color="auto"/>
            <w:left w:val="none" w:sz="0" w:space="0" w:color="auto"/>
            <w:bottom w:val="none" w:sz="0" w:space="0" w:color="auto"/>
            <w:right w:val="none" w:sz="0" w:space="0" w:color="auto"/>
          </w:divBdr>
        </w:div>
        <w:div w:id="1646812457">
          <w:marLeft w:val="0"/>
          <w:marRight w:val="0"/>
          <w:marTop w:val="0"/>
          <w:marBottom w:val="0"/>
          <w:divBdr>
            <w:top w:val="none" w:sz="0" w:space="0" w:color="auto"/>
            <w:left w:val="none" w:sz="0" w:space="0" w:color="auto"/>
            <w:bottom w:val="none" w:sz="0" w:space="0" w:color="auto"/>
            <w:right w:val="none" w:sz="0" w:space="0" w:color="auto"/>
          </w:divBdr>
        </w:div>
        <w:div w:id="346030877">
          <w:marLeft w:val="0"/>
          <w:marRight w:val="0"/>
          <w:marTop w:val="0"/>
          <w:marBottom w:val="0"/>
          <w:divBdr>
            <w:top w:val="none" w:sz="0" w:space="0" w:color="auto"/>
            <w:left w:val="none" w:sz="0" w:space="0" w:color="auto"/>
            <w:bottom w:val="none" w:sz="0" w:space="0" w:color="auto"/>
            <w:right w:val="none" w:sz="0" w:space="0" w:color="auto"/>
          </w:divBdr>
        </w:div>
        <w:div w:id="1762021358">
          <w:marLeft w:val="0"/>
          <w:marRight w:val="0"/>
          <w:marTop w:val="0"/>
          <w:marBottom w:val="0"/>
          <w:divBdr>
            <w:top w:val="none" w:sz="0" w:space="0" w:color="auto"/>
            <w:left w:val="none" w:sz="0" w:space="0" w:color="auto"/>
            <w:bottom w:val="none" w:sz="0" w:space="0" w:color="auto"/>
            <w:right w:val="none" w:sz="0" w:space="0" w:color="auto"/>
          </w:divBdr>
        </w:div>
        <w:div w:id="108352626">
          <w:marLeft w:val="0"/>
          <w:marRight w:val="0"/>
          <w:marTop w:val="0"/>
          <w:marBottom w:val="0"/>
          <w:divBdr>
            <w:top w:val="none" w:sz="0" w:space="0" w:color="auto"/>
            <w:left w:val="none" w:sz="0" w:space="0" w:color="auto"/>
            <w:bottom w:val="none" w:sz="0" w:space="0" w:color="auto"/>
            <w:right w:val="none" w:sz="0" w:space="0" w:color="auto"/>
          </w:divBdr>
        </w:div>
        <w:div w:id="834809650">
          <w:marLeft w:val="0"/>
          <w:marRight w:val="0"/>
          <w:marTop w:val="0"/>
          <w:marBottom w:val="0"/>
          <w:divBdr>
            <w:top w:val="none" w:sz="0" w:space="0" w:color="auto"/>
            <w:left w:val="none" w:sz="0" w:space="0" w:color="auto"/>
            <w:bottom w:val="none" w:sz="0" w:space="0" w:color="auto"/>
            <w:right w:val="none" w:sz="0" w:space="0" w:color="auto"/>
          </w:divBdr>
        </w:div>
        <w:div w:id="972176203">
          <w:marLeft w:val="0"/>
          <w:marRight w:val="0"/>
          <w:marTop w:val="0"/>
          <w:marBottom w:val="0"/>
          <w:divBdr>
            <w:top w:val="none" w:sz="0" w:space="0" w:color="auto"/>
            <w:left w:val="none" w:sz="0" w:space="0" w:color="auto"/>
            <w:bottom w:val="none" w:sz="0" w:space="0" w:color="auto"/>
            <w:right w:val="none" w:sz="0" w:space="0" w:color="auto"/>
          </w:divBdr>
        </w:div>
        <w:div w:id="1015886951">
          <w:marLeft w:val="0"/>
          <w:marRight w:val="0"/>
          <w:marTop w:val="0"/>
          <w:marBottom w:val="0"/>
          <w:divBdr>
            <w:top w:val="none" w:sz="0" w:space="0" w:color="auto"/>
            <w:left w:val="none" w:sz="0" w:space="0" w:color="auto"/>
            <w:bottom w:val="none" w:sz="0" w:space="0" w:color="auto"/>
            <w:right w:val="none" w:sz="0" w:space="0" w:color="auto"/>
          </w:divBdr>
        </w:div>
        <w:div w:id="2072461759">
          <w:marLeft w:val="0"/>
          <w:marRight w:val="0"/>
          <w:marTop w:val="0"/>
          <w:marBottom w:val="0"/>
          <w:divBdr>
            <w:top w:val="none" w:sz="0" w:space="0" w:color="auto"/>
            <w:left w:val="none" w:sz="0" w:space="0" w:color="auto"/>
            <w:bottom w:val="none" w:sz="0" w:space="0" w:color="auto"/>
            <w:right w:val="none" w:sz="0" w:space="0" w:color="auto"/>
          </w:divBdr>
        </w:div>
        <w:div w:id="1551720067">
          <w:marLeft w:val="0"/>
          <w:marRight w:val="0"/>
          <w:marTop w:val="0"/>
          <w:marBottom w:val="0"/>
          <w:divBdr>
            <w:top w:val="none" w:sz="0" w:space="0" w:color="auto"/>
            <w:left w:val="none" w:sz="0" w:space="0" w:color="auto"/>
            <w:bottom w:val="none" w:sz="0" w:space="0" w:color="auto"/>
            <w:right w:val="none" w:sz="0" w:space="0" w:color="auto"/>
          </w:divBdr>
        </w:div>
        <w:div w:id="2065986242">
          <w:marLeft w:val="0"/>
          <w:marRight w:val="0"/>
          <w:marTop w:val="0"/>
          <w:marBottom w:val="0"/>
          <w:divBdr>
            <w:top w:val="none" w:sz="0" w:space="0" w:color="auto"/>
            <w:left w:val="none" w:sz="0" w:space="0" w:color="auto"/>
            <w:bottom w:val="none" w:sz="0" w:space="0" w:color="auto"/>
            <w:right w:val="none" w:sz="0" w:space="0" w:color="auto"/>
          </w:divBdr>
        </w:div>
        <w:div w:id="959384994">
          <w:marLeft w:val="0"/>
          <w:marRight w:val="0"/>
          <w:marTop w:val="0"/>
          <w:marBottom w:val="0"/>
          <w:divBdr>
            <w:top w:val="none" w:sz="0" w:space="0" w:color="auto"/>
            <w:left w:val="none" w:sz="0" w:space="0" w:color="auto"/>
            <w:bottom w:val="none" w:sz="0" w:space="0" w:color="auto"/>
            <w:right w:val="none" w:sz="0" w:space="0" w:color="auto"/>
          </w:divBdr>
        </w:div>
        <w:div w:id="235828028">
          <w:marLeft w:val="0"/>
          <w:marRight w:val="0"/>
          <w:marTop w:val="0"/>
          <w:marBottom w:val="0"/>
          <w:divBdr>
            <w:top w:val="none" w:sz="0" w:space="0" w:color="auto"/>
            <w:left w:val="none" w:sz="0" w:space="0" w:color="auto"/>
            <w:bottom w:val="none" w:sz="0" w:space="0" w:color="auto"/>
            <w:right w:val="none" w:sz="0" w:space="0" w:color="auto"/>
          </w:divBdr>
        </w:div>
        <w:div w:id="1728675749">
          <w:marLeft w:val="0"/>
          <w:marRight w:val="0"/>
          <w:marTop w:val="0"/>
          <w:marBottom w:val="0"/>
          <w:divBdr>
            <w:top w:val="none" w:sz="0" w:space="0" w:color="auto"/>
            <w:left w:val="none" w:sz="0" w:space="0" w:color="auto"/>
            <w:bottom w:val="none" w:sz="0" w:space="0" w:color="auto"/>
            <w:right w:val="none" w:sz="0" w:space="0" w:color="auto"/>
          </w:divBdr>
        </w:div>
        <w:div w:id="317535301">
          <w:marLeft w:val="0"/>
          <w:marRight w:val="0"/>
          <w:marTop w:val="0"/>
          <w:marBottom w:val="0"/>
          <w:divBdr>
            <w:top w:val="none" w:sz="0" w:space="0" w:color="auto"/>
            <w:left w:val="none" w:sz="0" w:space="0" w:color="auto"/>
            <w:bottom w:val="none" w:sz="0" w:space="0" w:color="auto"/>
            <w:right w:val="none" w:sz="0" w:space="0" w:color="auto"/>
          </w:divBdr>
        </w:div>
        <w:div w:id="1123302251">
          <w:marLeft w:val="0"/>
          <w:marRight w:val="0"/>
          <w:marTop w:val="0"/>
          <w:marBottom w:val="0"/>
          <w:divBdr>
            <w:top w:val="none" w:sz="0" w:space="0" w:color="auto"/>
            <w:left w:val="none" w:sz="0" w:space="0" w:color="auto"/>
            <w:bottom w:val="none" w:sz="0" w:space="0" w:color="auto"/>
            <w:right w:val="none" w:sz="0" w:space="0" w:color="auto"/>
          </w:divBdr>
        </w:div>
        <w:div w:id="313218065">
          <w:marLeft w:val="0"/>
          <w:marRight w:val="0"/>
          <w:marTop w:val="0"/>
          <w:marBottom w:val="0"/>
          <w:divBdr>
            <w:top w:val="none" w:sz="0" w:space="0" w:color="auto"/>
            <w:left w:val="none" w:sz="0" w:space="0" w:color="auto"/>
            <w:bottom w:val="none" w:sz="0" w:space="0" w:color="auto"/>
            <w:right w:val="none" w:sz="0" w:space="0" w:color="auto"/>
          </w:divBdr>
        </w:div>
        <w:div w:id="1051731969">
          <w:marLeft w:val="0"/>
          <w:marRight w:val="0"/>
          <w:marTop w:val="0"/>
          <w:marBottom w:val="0"/>
          <w:divBdr>
            <w:top w:val="none" w:sz="0" w:space="0" w:color="auto"/>
            <w:left w:val="none" w:sz="0" w:space="0" w:color="auto"/>
            <w:bottom w:val="none" w:sz="0" w:space="0" w:color="auto"/>
            <w:right w:val="none" w:sz="0" w:space="0" w:color="auto"/>
          </w:divBdr>
        </w:div>
        <w:div w:id="1279146725">
          <w:marLeft w:val="0"/>
          <w:marRight w:val="0"/>
          <w:marTop w:val="0"/>
          <w:marBottom w:val="0"/>
          <w:divBdr>
            <w:top w:val="none" w:sz="0" w:space="0" w:color="auto"/>
            <w:left w:val="none" w:sz="0" w:space="0" w:color="auto"/>
            <w:bottom w:val="none" w:sz="0" w:space="0" w:color="auto"/>
            <w:right w:val="none" w:sz="0" w:space="0" w:color="auto"/>
          </w:divBdr>
        </w:div>
        <w:div w:id="156044036">
          <w:marLeft w:val="0"/>
          <w:marRight w:val="0"/>
          <w:marTop w:val="240"/>
          <w:marBottom w:val="0"/>
          <w:divBdr>
            <w:top w:val="none" w:sz="0" w:space="0" w:color="auto"/>
            <w:left w:val="none" w:sz="0" w:space="0" w:color="auto"/>
            <w:bottom w:val="none" w:sz="0" w:space="0" w:color="auto"/>
            <w:right w:val="none" w:sz="0" w:space="0" w:color="auto"/>
          </w:divBdr>
        </w:div>
        <w:div w:id="517082609">
          <w:marLeft w:val="150"/>
          <w:marRight w:val="150"/>
          <w:marTop w:val="480"/>
          <w:marBottom w:val="0"/>
          <w:divBdr>
            <w:top w:val="single" w:sz="6" w:space="28" w:color="D4D4D4"/>
            <w:left w:val="none" w:sz="0" w:space="0" w:color="auto"/>
            <w:bottom w:val="none" w:sz="0" w:space="0" w:color="auto"/>
            <w:right w:val="none" w:sz="0" w:space="0" w:color="auto"/>
          </w:divBdr>
        </w:div>
        <w:div w:id="1395011738">
          <w:marLeft w:val="0"/>
          <w:marRight w:val="0"/>
          <w:marTop w:val="400"/>
          <w:marBottom w:val="0"/>
          <w:divBdr>
            <w:top w:val="none" w:sz="0" w:space="0" w:color="auto"/>
            <w:left w:val="none" w:sz="0" w:space="0" w:color="auto"/>
            <w:bottom w:val="none" w:sz="0" w:space="0" w:color="auto"/>
            <w:right w:val="none" w:sz="0" w:space="0" w:color="auto"/>
          </w:divBdr>
        </w:div>
        <w:div w:id="178279110">
          <w:marLeft w:val="0"/>
          <w:marRight w:val="0"/>
          <w:marTop w:val="240"/>
          <w:marBottom w:val="0"/>
          <w:divBdr>
            <w:top w:val="none" w:sz="0" w:space="0" w:color="auto"/>
            <w:left w:val="none" w:sz="0" w:space="0" w:color="auto"/>
            <w:bottom w:val="none" w:sz="0" w:space="0" w:color="auto"/>
            <w:right w:val="none" w:sz="0" w:space="0" w:color="auto"/>
          </w:divBdr>
        </w:div>
        <w:div w:id="615136944">
          <w:marLeft w:val="150"/>
          <w:marRight w:val="150"/>
          <w:marTop w:val="480"/>
          <w:marBottom w:val="0"/>
          <w:divBdr>
            <w:top w:val="single" w:sz="6" w:space="28" w:color="D4D4D4"/>
            <w:left w:val="none" w:sz="0" w:space="0" w:color="auto"/>
            <w:bottom w:val="none" w:sz="0" w:space="0" w:color="auto"/>
            <w:right w:val="none" w:sz="0" w:space="0" w:color="auto"/>
          </w:divBdr>
        </w:div>
        <w:div w:id="1012026750">
          <w:marLeft w:val="0"/>
          <w:marRight w:val="0"/>
          <w:marTop w:val="240"/>
          <w:marBottom w:val="0"/>
          <w:divBdr>
            <w:top w:val="none" w:sz="0" w:space="0" w:color="auto"/>
            <w:left w:val="none" w:sz="0" w:space="0" w:color="auto"/>
            <w:bottom w:val="none" w:sz="0" w:space="0" w:color="auto"/>
            <w:right w:val="none" w:sz="0" w:space="0" w:color="auto"/>
          </w:divBdr>
        </w:div>
        <w:div w:id="40062071">
          <w:marLeft w:val="150"/>
          <w:marRight w:val="150"/>
          <w:marTop w:val="480"/>
          <w:marBottom w:val="0"/>
          <w:divBdr>
            <w:top w:val="single" w:sz="6" w:space="28" w:color="D4D4D4"/>
            <w:left w:val="none" w:sz="0" w:space="0" w:color="auto"/>
            <w:bottom w:val="none" w:sz="0" w:space="0" w:color="auto"/>
            <w:right w:val="none" w:sz="0" w:space="0" w:color="auto"/>
          </w:divBdr>
        </w:div>
        <w:div w:id="10919712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68508-grozijumi-ministru-kabineta-2011-gada-27-decembra-noteikumos-nr-1035-kartiba-kada-valsts-finanse-profesionalas-ievirzes-makslas..." TargetMode="External"/><Relationship Id="rId18" Type="http://schemas.openxmlformats.org/officeDocument/2006/relationships/hyperlink" Target="http://likumi.lv/ta/id/242201-kartiba-kada-valsts-finanse-profesionalas-ievirzes-makslas-muzikas-un-dejas-izglitibas-programmas" TargetMode="External"/><Relationship Id="rId26" Type="http://schemas.openxmlformats.org/officeDocument/2006/relationships/hyperlink" Target="http://likumi.lv/ta/id/242201-kartiba-kada-valsts-finanse-profesionalas-ievirzes-makslas-muzikas-un-dejas-izglitibas-programmas/redakcijas-datums/2014/01/01" TargetMode="External"/><Relationship Id="rId39" Type="http://schemas.openxmlformats.org/officeDocument/2006/relationships/hyperlink" Target="http://likumi.lv/ta/id/261812-grozijumi-ministru-kabineta-2011-gada-27-decembra-noteikumos-nr-1035-kartiba-kada-valsts-finanse-profesionalas-ievirzes-makslas..." TargetMode="External"/><Relationship Id="rId21" Type="http://schemas.openxmlformats.org/officeDocument/2006/relationships/hyperlink" Target="http://likumi.lv/ta/id/242201-kartiba-kada-valsts-finanse-profesionalas-ievirzes-makslas-muzikas-un-dejas-izglitibas-programmas" TargetMode="External"/><Relationship Id="rId34" Type="http://schemas.openxmlformats.org/officeDocument/2006/relationships/hyperlink" Target="http://likumi.lv/ta/id/261812-grozijumi-ministru-kabineta-2011-gada-27-decembra-noteikumos-nr-1035-kartiba-kada-valsts-finanse-profesionalas-ievirzes-makslas..." TargetMode="External"/><Relationship Id="rId42" Type="http://schemas.openxmlformats.org/officeDocument/2006/relationships/hyperlink" Target="http://likumi.lv/ta/id/242201-kartiba-kada-valsts-finanse-profesionalas-ievirzes-makslas-muzikas-un-dejas-izglitibas-programmas" TargetMode="External"/><Relationship Id="rId47" Type="http://schemas.openxmlformats.org/officeDocument/2006/relationships/hyperlink" Target="http://likumi.lv/ta/id/242201-kartiba-kada-valsts-finanse-profesionalas-ievirzes-makslas-muzikas-un-dejas-izglitibas-programmas" TargetMode="External"/><Relationship Id="rId50" Type="http://schemas.openxmlformats.org/officeDocument/2006/relationships/hyperlink" Target="http://www.likumi.lv/doc.php?id=%20261812" TargetMode="External"/><Relationship Id="rId55" Type="http://schemas.openxmlformats.org/officeDocument/2006/relationships/hyperlink" Target="http://likumi.lv/ta/id/242201-kartiba-kada-valsts-finanse-profesionalas-ievirzes-makslas-muzikas-un-dejas-izglitibas-programmas" TargetMode="External"/><Relationship Id="rId63" Type="http://schemas.openxmlformats.org/officeDocument/2006/relationships/hyperlink" Target="http://likumi.lv/ta/id/242201-kartiba-kada-valsts-finanse-profesionalas-ievirzes-makslas-muzikas-un-dejas-izglitibas-programmas/redakcijas-datums/2014/01/01" TargetMode="External"/><Relationship Id="rId68" Type="http://schemas.openxmlformats.org/officeDocument/2006/relationships/hyperlink" Target="http://likumi.lv/ta/id/242201-kartiba-kada-valsts-finanse-profesionalas-ievirzes-makslas-muzikas-un-dejas-izglitibas-programmas" TargetMode="External"/><Relationship Id="rId76" Type="http://schemas.openxmlformats.org/officeDocument/2006/relationships/hyperlink" Target="http://likumi.lv/ta/id/268508-grozijumi-ministru-kabineta-2011-gada-27-decembra-noteikumos-nr-1035-kartiba-kada-valsts-finanse-profesionalas-ievirzes-makslas..." TargetMode="External"/><Relationship Id="rId7" Type="http://schemas.openxmlformats.org/officeDocument/2006/relationships/hyperlink" Target="http://likumi.lv/ta/id/50759-izglitibas-likums" TargetMode="External"/><Relationship Id="rId71" Type="http://schemas.openxmlformats.org/officeDocument/2006/relationships/hyperlink" Target="http://likumi.lv/ta/id/242201-kartiba-kada-valsts-finanse-profesionalas-ievirzes-makslas-muzikas-un-dejas-izglitibas-programmas" TargetMode="External"/><Relationship Id="rId2" Type="http://schemas.microsoft.com/office/2007/relationships/stylesWithEffects" Target="stylesWithEffects.xml"/><Relationship Id="rId16" Type="http://schemas.openxmlformats.org/officeDocument/2006/relationships/hyperlink" Target="http://likumi.lv/ta/id/261812-grozijumi-ministru-kabineta-2011-gada-27-decembra-noteikumos-nr-1035-kartiba-kada-valsts-finanse-profesionalas-ievirzes-makslas..." TargetMode="External"/><Relationship Id="rId29" Type="http://schemas.openxmlformats.org/officeDocument/2006/relationships/hyperlink" Target="http://likumi.lv/ta/id/242201-kartiba-kada-valsts-finanse-profesionalas-ievirzes-makslas-muzikas-un-dejas-izglitibas-programmas" TargetMode="External"/><Relationship Id="rId11" Type="http://schemas.openxmlformats.org/officeDocument/2006/relationships/hyperlink" Target="http://likumi.lv/ta/id/242201-kartiba-kada-valsts-finanse-profesionalas-ievirzes-makslas-muzikas-un-dejas-izglitibas-programmas" TargetMode="External"/><Relationship Id="rId24" Type="http://schemas.openxmlformats.org/officeDocument/2006/relationships/hyperlink" Target="http://likumi.lv/ta/id/261812-grozijumi-ministru-kabineta-2011-gada-27-decembra-noteikumos-nr-1035-kartiba-kada-valsts-finanse-profesionalas-ievirzes-makslas..." TargetMode="External"/><Relationship Id="rId32" Type="http://schemas.openxmlformats.org/officeDocument/2006/relationships/hyperlink" Target="http://www.likumi.lv/doc.php?id=%20261812" TargetMode="External"/><Relationship Id="rId37" Type="http://schemas.openxmlformats.org/officeDocument/2006/relationships/hyperlink" Target="http://likumi.lv/ta/id/242201-kartiba-kada-valsts-finanse-profesionalas-ievirzes-makslas-muzikas-un-dejas-izglitibas-programmas" TargetMode="External"/><Relationship Id="rId40" Type="http://schemas.openxmlformats.org/officeDocument/2006/relationships/hyperlink" Target="http://likumi.lv/ta/id/268508-grozijumi-ministru-kabineta-2011-gada-27-decembra-noteikumos-nr-1035-kartiba-kada-valsts-finanse-profesionalas-ievirzes-makslas..." TargetMode="External"/><Relationship Id="rId45" Type="http://schemas.openxmlformats.org/officeDocument/2006/relationships/hyperlink" Target="http://likumi.lv/ta/id/242201-kartiba-kada-valsts-finanse-profesionalas-ievirzes-makslas-muzikas-un-dejas-izglitibas-programmas/redakcijas-datums/2014/01/01" TargetMode="External"/><Relationship Id="rId53" Type="http://schemas.openxmlformats.org/officeDocument/2006/relationships/hyperlink" Target="http://likumi.lv/ta/id/242201-kartiba-kada-valsts-finanse-profesionalas-ievirzes-makslas-muzikas-un-dejas-izglitibas-programmas/redakcijas-datums/2014/01/01" TargetMode="External"/><Relationship Id="rId58" Type="http://schemas.openxmlformats.org/officeDocument/2006/relationships/hyperlink" Target="http://likumi.lv/ta/id/261812-grozijumi-ministru-kabineta-2011-gada-27-decembra-noteikumos-nr-1035-kartiba-kada-valsts-finanse-profesionalas-ievirzes-makslas..." TargetMode="External"/><Relationship Id="rId66" Type="http://schemas.openxmlformats.org/officeDocument/2006/relationships/hyperlink" Target="http://likumi.lv/ta/id/242201-kartiba-kada-valsts-finanse-profesionalas-ievirzes-makslas-muzikas-un-dejas-izglitibas-programmas" TargetMode="External"/><Relationship Id="rId74" Type="http://schemas.openxmlformats.org/officeDocument/2006/relationships/hyperlink" Target="http://likumi.lv/ta/id/268508-grozijumi-ministru-kabineta-2011-gada-27-decembra-noteikumos-nr-1035-kartiba-kada-valsts-finanse-profesionalas-ievirzes-makslas..." TargetMode="External"/><Relationship Id="rId79" Type="http://schemas.openxmlformats.org/officeDocument/2006/relationships/hyperlink" Target="http://likumi.lv/ta/id/268508-grozijumi-ministru-kabineta-2011-gada-27-decembra-noteikumos-nr-1035-kartiba-kada-valsts-finanse-profesionalas-ievirzes-makslas..." TargetMode="External"/><Relationship Id="rId5" Type="http://schemas.openxmlformats.org/officeDocument/2006/relationships/footnotes" Target="footnotes.xml"/><Relationship Id="rId61" Type="http://schemas.openxmlformats.org/officeDocument/2006/relationships/hyperlink" Target="http://likumi.lv/ta/id/242201-kartiba-kada-valsts-finanse-profesionalas-ievirzes-makslas-muzikas-un-dejas-izglitibas-programmas" TargetMode="External"/><Relationship Id="rId82" Type="http://schemas.openxmlformats.org/officeDocument/2006/relationships/fontTable" Target="fontTable.xml"/><Relationship Id="rId10" Type="http://schemas.openxmlformats.org/officeDocument/2006/relationships/hyperlink" Target="http://likumi.lv/ta/id/20244-profesionalas-izglitibas-likums" TargetMode="External"/><Relationship Id="rId19" Type="http://schemas.openxmlformats.org/officeDocument/2006/relationships/hyperlink" Target="http://likumi.lv/ta/id/268508-grozijumi-ministru-kabineta-2011-gada-27-decembra-noteikumos-nr-1035-kartiba-kada-valsts-finanse-profesionalas-ievirzes-makslas..." TargetMode="External"/><Relationship Id="rId31" Type="http://schemas.openxmlformats.org/officeDocument/2006/relationships/hyperlink" Target="http://likumi.lv/ta/id/242201-kartiba-kada-valsts-finanse-profesionalas-ievirzes-makslas-muzikas-un-dejas-izglitibas-programmas/redakcijas-datums/2014/01/01" TargetMode="External"/><Relationship Id="rId44" Type="http://schemas.openxmlformats.org/officeDocument/2006/relationships/hyperlink" Target="http://likumi.lv/ta/id/261812-grozijumi-ministru-kabineta-2011-gada-27-decembra-noteikumos-nr-1035-kartiba-kada-valsts-finanse-profesionalas-ievirzes-makslas..." TargetMode="External"/><Relationship Id="rId52" Type="http://schemas.openxmlformats.org/officeDocument/2006/relationships/hyperlink" Target="http://likumi.lv/ta/id/261812-grozijumi-ministru-kabineta-2011-gada-27-decembra-noteikumos-nr-1035-kartiba-kada-valsts-finanse-profesionalas-ievirzes-makslas..." TargetMode="External"/><Relationship Id="rId60" Type="http://schemas.openxmlformats.org/officeDocument/2006/relationships/hyperlink" Target="http://www.likumi.lv/doc.php?id=%20261812" TargetMode="External"/><Relationship Id="rId65" Type="http://schemas.openxmlformats.org/officeDocument/2006/relationships/hyperlink" Target="http://likumi.lv/ta/id/242201-kartiba-kada-valsts-finanse-profesionalas-ievirzes-makslas-muzikas-un-dejas-izglitibas-programmas" TargetMode="External"/><Relationship Id="rId73" Type="http://schemas.openxmlformats.org/officeDocument/2006/relationships/hyperlink" Target="http://likumi.lv/ta/id/261812-grozijumi-ministru-kabineta-2011-gada-27-decembra-noteikumos-nr-1035-kartiba-kada-valsts-finanse-profesionalas-ievirzes-makslas..." TargetMode="External"/><Relationship Id="rId78" Type="http://schemas.openxmlformats.org/officeDocument/2006/relationships/hyperlink" Target="http://likumi.lv/ta/id/268508-grozijumi-ministru-kabineta-2011-gada-27-decembra-noteikumos-nr-1035-kartiba-kada-valsts-finanse-profesionalas-ievirzes-makslas..." TargetMode="External"/><Relationship Id="rId81" Type="http://schemas.openxmlformats.org/officeDocument/2006/relationships/hyperlink" Target="http://likumi.lv/ta/id/268508-grozijumi-ministru-kabineta-2011-gada-27-decembra-noteikumos-nr-1035-kartiba-kada-valsts-finanse-profesionalas-ievirzes-makslas..." TargetMode="External"/><Relationship Id="rId4" Type="http://schemas.openxmlformats.org/officeDocument/2006/relationships/webSettings" Target="webSettings.xml"/><Relationship Id="rId9" Type="http://schemas.openxmlformats.org/officeDocument/2006/relationships/hyperlink" Target="http://likumi.lv/ta/id/20244-profesionalas-izglitibas-likums" TargetMode="External"/><Relationship Id="rId14" Type="http://schemas.openxmlformats.org/officeDocument/2006/relationships/hyperlink" Target="http://likumi.lv/ta/id/242201-kartiba-kada-valsts-finanse-profesionalas-ievirzes-makslas-muzikas-un-dejas-izglitibas-programmas" TargetMode="External"/><Relationship Id="rId22" Type="http://schemas.openxmlformats.org/officeDocument/2006/relationships/hyperlink" Target="http://likumi.lv/ta/id/268508-grozijumi-ministru-kabineta-2011-gada-27-decembra-noteikumos-nr-1035-kartiba-kada-valsts-finanse-profesionalas-ievirzes-makslas..." TargetMode="External"/><Relationship Id="rId27" Type="http://schemas.openxmlformats.org/officeDocument/2006/relationships/hyperlink" Target="http://www.likumi.lv/doc.php?id=%20261812" TargetMode="External"/><Relationship Id="rId30" Type="http://schemas.openxmlformats.org/officeDocument/2006/relationships/hyperlink" Target="http://likumi.lv/ta/id/261812-grozijumi-ministru-kabineta-2011-gada-27-decembra-noteikumos-nr-1035-kartiba-kada-valsts-finanse-profesionalas-ievirzes-makslas..." TargetMode="External"/><Relationship Id="rId35" Type="http://schemas.openxmlformats.org/officeDocument/2006/relationships/hyperlink" Target="http://likumi.lv/ta/id/242201-kartiba-kada-valsts-finanse-profesionalas-ievirzes-makslas-muzikas-un-dejas-izglitibas-programmas/redakcijas-datums/2014/01/01" TargetMode="External"/><Relationship Id="rId43" Type="http://schemas.openxmlformats.org/officeDocument/2006/relationships/hyperlink" Target="http://likumi.lv/ta/id/242201-kartiba-kada-valsts-finanse-profesionalas-ievirzes-makslas-muzikas-un-dejas-izglitibas-programmas" TargetMode="External"/><Relationship Id="rId48" Type="http://schemas.openxmlformats.org/officeDocument/2006/relationships/hyperlink" Target="http://likumi.lv/ta/id/261812-grozijumi-ministru-kabineta-2011-gada-27-decembra-noteikumos-nr-1035-kartiba-kada-valsts-finanse-profesionalas-ievirzes-makslas..." TargetMode="External"/><Relationship Id="rId56" Type="http://schemas.openxmlformats.org/officeDocument/2006/relationships/hyperlink" Target="http://likumi.lv/ta/id/242201-kartiba-kada-valsts-finanse-profesionalas-ievirzes-makslas-muzikas-un-dejas-izglitibas-programmas" TargetMode="External"/><Relationship Id="rId64" Type="http://schemas.openxmlformats.org/officeDocument/2006/relationships/hyperlink" Target="http://www.likumi.lv/doc.php?id=%20261812" TargetMode="External"/><Relationship Id="rId69" Type="http://schemas.openxmlformats.org/officeDocument/2006/relationships/hyperlink" Target="http://likumi.lv/ta/id/242201-kartiba-kada-valsts-finanse-profesionalas-ievirzes-makslas-muzikas-un-dejas-izglitibas-programmas" TargetMode="External"/><Relationship Id="rId77" Type="http://schemas.openxmlformats.org/officeDocument/2006/relationships/hyperlink" Target="http://likumi.lv/ta/id/268508-grozijumi-ministru-kabineta-2011-gada-27-decembra-noteikumos-nr-1035-kartiba-kada-valsts-finanse-profesionalas-ievirzes-makslas..." TargetMode="External"/><Relationship Id="rId8" Type="http://schemas.openxmlformats.org/officeDocument/2006/relationships/hyperlink" Target="http://likumi.lv/ta/id/50759-izglitibas-likums" TargetMode="External"/><Relationship Id="rId51" Type="http://schemas.openxmlformats.org/officeDocument/2006/relationships/hyperlink" Target="http://likumi.lv/ta/id/242201-kartiba-kada-valsts-finanse-profesionalas-ievirzes-makslas-muzikas-un-dejas-izglitibas-programmas" TargetMode="External"/><Relationship Id="rId72" Type="http://schemas.openxmlformats.org/officeDocument/2006/relationships/hyperlink" Target="http://likumi.lv/ta/id/242201-kartiba-kada-valsts-finanse-profesionalas-ievirzes-makslas-muzikas-un-dejas-izglitibas-programmas"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likumi.lv/ta/id/261812-grozijumi-ministru-kabineta-2011-gada-27-decembra-noteikumos-nr-1035-kartiba-kada-valsts-finanse-profesionalas-ievirzes-makslas..." TargetMode="External"/><Relationship Id="rId17" Type="http://schemas.openxmlformats.org/officeDocument/2006/relationships/hyperlink" Target="http://likumi.lv/ta/id/242201-kartiba-kada-valsts-finanse-profesionalas-ievirzes-makslas-muzikas-un-dejas-izglitibas-programmas" TargetMode="External"/><Relationship Id="rId25" Type="http://schemas.openxmlformats.org/officeDocument/2006/relationships/hyperlink" Target="http://likumi.lv/ta/id/261812-grozijumi-ministru-kabineta-2011-gada-27-decembra-noteikumos-nr-1035-kartiba-kada-valsts-finanse-profesionalas-ievirzes-makslas..." TargetMode="External"/><Relationship Id="rId33" Type="http://schemas.openxmlformats.org/officeDocument/2006/relationships/hyperlink" Target="http://likumi.lv/ta/id/242201-kartiba-kada-valsts-finanse-profesionalas-ievirzes-makslas-muzikas-un-dejas-izglitibas-programmas" TargetMode="External"/><Relationship Id="rId38" Type="http://schemas.openxmlformats.org/officeDocument/2006/relationships/hyperlink" Target="http://likumi.lv/ta/id/242201-kartiba-kada-valsts-finanse-profesionalas-ievirzes-makslas-muzikas-un-dejas-izglitibas-programmas" TargetMode="External"/><Relationship Id="rId46" Type="http://schemas.openxmlformats.org/officeDocument/2006/relationships/hyperlink" Target="http://www.likumi.lv/doc.php?id=%20261812" TargetMode="External"/><Relationship Id="rId59" Type="http://schemas.openxmlformats.org/officeDocument/2006/relationships/hyperlink" Target="http://likumi.lv/ta/id/242201-kartiba-kada-valsts-finanse-profesionalas-ievirzes-makslas-muzikas-un-dejas-izglitibas-programmas/redakcijas-datums/2014/01/01" TargetMode="External"/><Relationship Id="rId67" Type="http://schemas.openxmlformats.org/officeDocument/2006/relationships/hyperlink" Target="http://likumi.lv/ta/id/242201-kartiba-kada-valsts-finanse-profesionalas-ievirzes-makslas-muzikas-un-dejas-izglitibas-programmas" TargetMode="External"/><Relationship Id="rId20" Type="http://schemas.openxmlformats.org/officeDocument/2006/relationships/hyperlink" Target="http://likumi.lv/ta/id/242201-kartiba-kada-valsts-finanse-profesionalas-ievirzes-makslas-muzikas-un-dejas-izglitibas-programmas" TargetMode="External"/><Relationship Id="rId41" Type="http://schemas.openxmlformats.org/officeDocument/2006/relationships/hyperlink" Target="http://likumi.lv/ta/id/242201-kartiba-kada-valsts-finanse-profesionalas-ievirzes-makslas-muzikas-un-dejas-izglitibas-programmas/redakcijas-datums/2014/01/01" TargetMode="External"/><Relationship Id="rId54" Type="http://schemas.openxmlformats.org/officeDocument/2006/relationships/hyperlink" Target="http://www.likumi.lv/doc.php?id=%20261812" TargetMode="External"/><Relationship Id="rId62" Type="http://schemas.openxmlformats.org/officeDocument/2006/relationships/hyperlink" Target="http://likumi.lv/ta/id/261812-grozijumi-ministru-kabineta-2011-gada-27-decembra-noteikumos-nr-1035-kartiba-kada-valsts-finanse-profesionalas-ievirzes-makslas..." TargetMode="External"/><Relationship Id="rId70" Type="http://schemas.openxmlformats.org/officeDocument/2006/relationships/hyperlink" Target="http://likumi.lv/ta/id/268508-grozijumi-ministru-kabineta-2011-gada-27-decembra-noteikumos-nr-1035-kartiba-kada-valsts-finanse-profesionalas-ievirzes-makslas..." TargetMode="External"/><Relationship Id="rId75" Type="http://schemas.openxmlformats.org/officeDocument/2006/relationships/hyperlink" Target="http://likumi.lv/ta/id/261812-grozijumi-ministru-kabineta-2011-gada-27-decembra-noteikumos-nr-1035-kartiba-kada-valsts-finanse-profesionalas-ievirzes-makslas..."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likumi.lv/ta/id/242201-kartiba-kada-valsts-finanse-profesionalas-ievirzes-makslas-muzikas-un-dejas-izglitibas-programmas" TargetMode="External"/><Relationship Id="rId23" Type="http://schemas.openxmlformats.org/officeDocument/2006/relationships/hyperlink" Target="http://likumi.lv/ta/id/268508-grozijumi-ministru-kabineta-2011-gada-27-decembra-noteikumos-nr-1035-kartiba-kada-valsts-finanse-profesionalas-ievirzes-makslas..." TargetMode="External"/><Relationship Id="rId28" Type="http://schemas.openxmlformats.org/officeDocument/2006/relationships/hyperlink" Target="http://likumi.lv/ta/id/242201-kartiba-kada-valsts-finanse-profesionalas-ievirzes-makslas-muzikas-un-dejas-izglitibas-programmas" TargetMode="External"/><Relationship Id="rId36" Type="http://schemas.openxmlformats.org/officeDocument/2006/relationships/hyperlink" Target="http://www.likumi.lv/doc.php?id=%20261812" TargetMode="External"/><Relationship Id="rId49" Type="http://schemas.openxmlformats.org/officeDocument/2006/relationships/hyperlink" Target="http://likumi.lv/ta/id/242201-kartiba-kada-valsts-finanse-profesionalas-ievirzes-makslas-muzikas-un-dejas-izglitibas-programmas/redakcijas-datums/2014/01/01" TargetMode="External"/><Relationship Id="rId57" Type="http://schemas.openxmlformats.org/officeDocument/2006/relationships/hyperlink" Target="http://likumi.lv/ta/id/268508-grozijumi-ministru-kabineta-2011-gada-27-decembra-noteikumos-nr-1035-kartiba-kada-valsts-finanse-profesionalas-ievirzes-maksla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likumi.lv/ta/id/242201-kartiba-kada-valsts-finanse-profesionalas-ievirzes-makslas-muzikas-un-dejas-izglitibas-programma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25045</Words>
  <Characters>14276</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dcterms:created xsi:type="dcterms:W3CDTF">2016-07-28T07:55:00Z</dcterms:created>
  <dcterms:modified xsi:type="dcterms:W3CDTF">2016-08-26T09:57:00Z</dcterms:modified>
</cp:coreProperties>
</file>